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8"/>
        <w:jc w:val="center"/>
        <w:rPr>
          <w:rFonts w:hint="eastAsia" w:cs="宋体" w:asciiTheme="minorEastAsia" w:hAnsiTheme="minorEastAsia"/>
          <w:color w:val="auto"/>
          <w:sz w:val="48"/>
          <w:szCs w:val="48"/>
          <w:u w:val="single"/>
        </w:rPr>
      </w:pPr>
    </w:p>
    <w:p w14:paraId="779CA489">
      <w:pPr>
        <w:pStyle w:val="8"/>
        <w:jc w:val="center"/>
        <w:rPr>
          <w:rFonts w:hint="eastAsia" w:cs="宋体" w:asciiTheme="minorEastAsia" w:hAnsiTheme="minorEastAsia"/>
          <w:color w:val="auto"/>
          <w:sz w:val="48"/>
          <w:szCs w:val="48"/>
          <w:u w:val="single"/>
        </w:rPr>
      </w:pPr>
    </w:p>
    <w:p w14:paraId="5EB9923E">
      <w:pPr>
        <w:pStyle w:val="8"/>
        <w:jc w:val="center"/>
        <w:rPr>
          <w:rFonts w:hint="eastAsia" w:cs="宋体" w:asciiTheme="minorEastAsia" w:hAnsiTheme="minorEastAsia"/>
          <w:color w:val="auto"/>
          <w:sz w:val="48"/>
          <w:szCs w:val="48"/>
          <w:u w:val="single"/>
        </w:rPr>
      </w:pPr>
    </w:p>
    <w:p w14:paraId="0776E5DA">
      <w:pPr>
        <w:pStyle w:val="8"/>
        <w:jc w:val="center"/>
        <w:rPr>
          <w:rFonts w:hint="eastAsia" w:cs="宋体" w:asciiTheme="minorEastAsia" w:hAnsiTheme="minorEastAsia"/>
          <w:color w:val="auto"/>
          <w:sz w:val="48"/>
          <w:szCs w:val="48"/>
          <w:u w:val="single"/>
        </w:rPr>
      </w:pPr>
    </w:p>
    <w:p w14:paraId="36BB2EEC">
      <w:pPr>
        <w:pStyle w:val="8"/>
        <w:jc w:val="center"/>
        <w:rPr>
          <w:rFonts w:hint="eastAsia" w:cs="宋体" w:asciiTheme="minorEastAsia" w:hAnsiTheme="minorEastAsia"/>
          <w:color w:val="auto"/>
          <w:sz w:val="48"/>
          <w:szCs w:val="48"/>
          <w:u w:val="single"/>
        </w:rPr>
      </w:pPr>
    </w:p>
    <w:p w14:paraId="7D38BC5C">
      <w:pPr>
        <w:pStyle w:val="8"/>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2025年三固运行中心填埋场渗滤液管道检测及清洗服务采购项目（第二次重新询价）</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202507057</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8"/>
        <w:rPr>
          <w:color w:val="auto"/>
        </w:rPr>
      </w:pPr>
    </w:p>
    <w:p w14:paraId="743DEDE1">
      <w:pPr>
        <w:rPr>
          <w:color w:val="auto"/>
        </w:rPr>
      </w:pPr>
    </w:p>
    <w:p w14:paraId="735F61A0">
      <w:pPr>
        <w:pStyle w:val="8"/>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8"/>
        <w:rPr>
          <w:rFonts w:cs="仿宋" w:asciiTheme="minorEastAsia" w:hAnsiTheme="minorEastAsia"/>
          <w:color w:val="auto"/>
          <w:sz w:val="24"/>
          <w:szCs w:val="24"/>
        </w:rPr>
      </w:pPr>
    </w:p>
    <w:p w14:paraId="079F01E4">
      <w:pPr>
        <w:pStyle w:val="8"/>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12</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79"/>
      <w:bookmarkStart w:id="2" w:name="_Toc35393621"/>
      <w:bookmarkStart w:id="3" w:name="_Toc28359002"/>
      <w:bookmarkStart w:id="4" w:name="_Toc35393790"/>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2025年三固运行中心填埋场渗滤液管道检测及清洗服务采购项目（第二次重新询价）</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202507057</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0000FF"/>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2025年三固运行中心填埋场渗滤液管道检测及清洗服务采购项目（第二次重新询价）</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7.8万元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16DDA154">
      <w:pPr>
        <w:spacing w:line="360" w:lineRule="auto"/>
        <w:ind w:firstLine="480" w:firstLineChars="200"/>
        <w:rPr>
          <w:rFonts w:hAnsi="宋体"/>
          <w:color w:val="auto"/>
          <w:sz w:val="24"/>
          <w:highlight w:val="none"/>
        </w:rPr>
      </w:pPr>
      <w:r>
        <w:rPr>
          <w:rFonts w:hint="eastAsia" w:hAnsi="宋体" w:cs="宋体"/>
          <w:bCs/>
          <w:sz w:val="24"/>
          <w:lang w:val="en-US" w:eastAsia="zh-CN"/>
        </w:rPr>
        <w:t>委托第三方单位对</w:t>
      </w:r>
      <w:r>
        <w:rPr>
          <w:rFonts w:hint="eastAsia" w:hAnsi="宋体" w:cs="宋体"/>
          <w:bCs/>
          <w:sz w:val="24"/>
        </w:rPr>
        <w:t>临江公司</w:t>
      </w:r>
      <w:r>
        <w:rPr>
          <w:rFonts w:hint="eastAsia" w:hAnsi="宋体" w:cs="宋体"/>
          <w:bCs/>
          <w:sz w:val="24"/>
          <w:lang w:val="en-US" w:eastAsia="zh-CN"/>
        </w:rPr>
        <w:t>三固运行中心填埋场南北两侧渗滤液管道进行检测</w:t>
      </w:r>
      <w:r>
        <w:rPr>
          <w:rFonts w:hint="eastAsia" w:hAnsi="宋体" w:cs="宋体"/>
          <w:bCs/>
          <w:color w:val="auto"/>
          <w:sz w:val="24"/>
          <w:lang w:val="en-US" w:eastAsia="zh-CN"/>
        </w:rPr>
        <w:t>和</w:t>
      </w:r>
      <w:r>
        <w:rPr>
          <w:rFonts w:hint="eastAsia" w:hAnsi="宋体" w:cs="宋体"/>
          <w:bCs/>
          <w:sz w:val="24"/>
          <w:lang w:val="en-US" w:eastAsia="zh-CN"/>
        </w:rPr>
        <w:t>清洗服务，</w:t>
      </w:r>
      <w:r>
        <w:rPr>
          <w:rFonts w:hint="eastAsia" w:cs="仿宋" w:asciiTheme="minorEastAsia" w:hAnsiTheme="minorEastAsia"/>
          <w:color w:val="auto"/>
          <w:sz w:val="24"/>
          <w:highlight w:val="none"/>
        </w:rPr>
        <w:t>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03"/>
      <w:bookmarkStart w:id="7" w:name="_Toc35393791"/>
      <w:bookmarkStart w:id="8" w:name="_Toc35393622"/>
      <w:bookmarkStart w:id="9" w:name="_Toc28359080"/>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623"/>
      <w:bookmarkStart w:id="11" w:name="_Toc28359081"/>
      <w:bookmarkStart w:id="12" w:name="_Toc28359004"/>
      <w:bookmarkStart w:id="13" w:name="_Toc35393792"/>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62066708">
      <w:pPr>
        <w:spacing w:line="360" w:lineRule="auto"/>
        <w:ind w:firstLine="480" w:firstLineChars="200"/>
        <w:rPr>
          <w:rFonts w:hint="eastAsia" w:cs="仿宋" w:asciiTheme="minorEastAsia" w:hAnsiTheme="minorEastAsia" w:eastAsiaTheme="minorEastAsia"/>
          <w:bCs/>
          <w:sz w:val="24"/>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u w:val="single"/>
        </w:rPr>
        <w:t>供应商提供自202</w:t>
      </w:r>
      <w:r>
        <w:rPr>
          <w:rFonts w:hint="eastAsia" w:cs="仿宋" w:asciiTheme="minorEastAsia" w:hAnsiTheme="minorEastAsia"/>
          <w:bCs/>
          <w:sz w:val="24"/>
          <w:u w:val="single"/>
          <w:lang w:val="en-US" w:eastAsia="zh-CN"/>
        </w:rPr>
        <w:t>3</w:t>
      </w:r>
      <w:r>
        <w:rPr>
          <w:rFonts w:hint="eastAsia" w:cs="仿宋" w:asciiTheme="minorEastAsia" w:hAnsiTheme="minorEastAsia"/>
          <w:bCs/>
          <w:sz w:val="24"/>
          <w:u w:val="single"/>
        </w:rPr>
        <w:t>年1月1日起至少</w:t>
      </w:r>
      <w:r>
        <w:rPr>
          <w:rFonts w:hint="eastAsia" w:cs="仿宋" w:asciiTheme="minorEastAsia" w:hAnsiTheme="minorEastAsia"/>
          <w:b/>
          <w:bCs w:val="0"/>
          <w:sz w:val="24"/>
          <w:u w:val="single"/>
          <w:lang w:val="en-US" w:eastAsia="zh-CN"/>
        </w:rPr>
        <w:t>完成过</w:t>
      </w:r>
      <w:r>
        <w:rPr>
          <w:rFonts w:hint="eastAsia" w:cs="仿宋" w:asciiTheme="minorEastAsia" w:hAnsiTheme="minorEastAsia"/>
          <w:bCs/>
          <w:sz w:val="24"/>
          <w:u w:val="single"/>
        </w:rPr>
        <w:t>1例</w:t>
      </w:r>
      <w:r>
        <w:rPr>
          <w:rFonts w:hint="eastAsia" w:cs="仿宋" w:asciiTheme="minorEastAsia" w:hAnsiTheme="minorEastAsia"/>
          <w:color w:val="auto"/>
          <w:sz w:val="24"/>
          <w:u w:val="single"/>
          <w:lang w:val="en-US" w:eastAsia="zh-CN"/>
        </w:rPr>
        <w:t>填埋场渗滤液管道检测或清洗服务</w:t>
      </w:r>
      <w:r>
        <w:rPr>
          <w:rFonts w:hint="eastAsia" w:cs="仿宋" w:asciiTheme="minorEastAsia" w:hAnsiTheme="minorEastAsia"/>
          <w:bCs/>
          <w:sz w:val="24"/>
          <w:u w:val="single"/>
        </w:rPr>
        <w:t>业绩（同时提供合同复印件</w:t>
      </w:r>
      <w:r>
        <w:rPr>
          <w:rFonts w:hint="eastAsia" w:cs="仿宋" w:asciiTheme="minorEastAsia" w:hAnsiTheme="minorEastAsia"/>
          <w:bCs/>
          <w:sz w:val="24"/>
          <w:u w:val="single"/>
          <w:lang w:val="en-US" w:eastAsia="zh-CN"/>
        </w:rPr>
        <w:t>为业绩证明材料</w:t>
      </w:r>
      <w:r>
        <w:rPr>
          <w:rFonts w:hint="eastAsia" w:cs="仿宋" w:asciiTheme="minorEastAsia" w:hAnsiTheme="minorEastAsia"/>
          <w:bCs/>
          <w:sz w:val="24"/>
          <w:u w:val="single"/>
        </w:rPr>
        <w:t>）</w:t>
      </w:r>
      <w:r>
        <w:rPr>
          <w:rFonts w:hint="eastAsia" w:cs="仿宋" w:asciiTheme="minorEastAsia" w:hAnsiTheme="minorEastAsia"/>
          <w:bCs/>
          <w:sz w:val="24"/>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spacing w:line="360" w:lineRule="auto"/>
        <w:ind w:firstLine="480" w:firstLineChars="200"/>
        <w:rPr>
          <w:rFonts w:hint="eastAsia" w:cs="仿宋" w:asciiTheme="minorEastAsia" w:hAnsiTheme="minorEastAsia" w:eastAsiaTheme="minorEastAsia"/>
          <w:bCs/>
          <w:color w:val="0000FF"/>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05"/>
      <w:bookmarkStart w:id="16" w:name="_Toc28359082"/>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strike w:val="0"/>
          <w:dstrike w:val="0"/>
          <w:kern w:val="2"/>
          <w:sz w:val="24"/>
          <w:szCs w:val="24"/>
          <w:u w:val="single"/>
          <w:lang w:val="en-US" w:eastAsia="zh-CN" w:bidi="ar-SA"/>
        </w:rPr>
        <w:t>/</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21</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13</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工 1</w:t>
      </w:r>
      <w:r>
        <w:rPr>
          <w:rFonts w:hint="eastAsia" w:cs="仿宋" w:asciiTheme="minorEastAsia" w:hAnsiTheme="minorEastAsia"/>
          <w:color w:val="auto"/>
          <w:sz w:val="24"/>
          <w:lang w:val="en-US" w:eastAsia="zh-CN"/>
        </w:rPr>
        <w:t>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8月12</w:t>
      </w:r>
      <w:bookmarkStart w:id="464" w:name="_GoBack"/>
      <w:bookmarkEnd w:id="464"/>
      <w:r>
        <w:rPr>
          <w:rFonts w:hint="eastAsia" w:cs="仿宋" w:asciiTheme="minorEastAsia" w:hAnsiTheme="minorEastAsia"/>
          <w:color w:val="auto"/>
          <w:sz w:val="24"/>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1B14E8E3">
      <w:pPr>
        <w:rPr>
          <w:rFonts w:cs="仿宋" w:asciiTheme="minorEastAsia" w:hAnsiTheme="minorEastAsia"/>
          <w:b/>
          <w:bCs/>
          <w:sz w:val="36"/>
          <w:szCs w:val="36"/>
        </w:rPr>
      </w:pPr>
    </w:p>
    <w:p w14:paraId="3E90E591">
      <w:pPr>
        <w:rPr>
          <w:rFonts w:cs="仿宋" w:asciiTheme="minorEastAsia" w:hAnsiTheme="minorEastAsia"/>
          <w:b/>
          <w:bCs/>
          <w:sz w:val="36"/>
          <w:szCs w:val="36"/>
        </w:rPr>
      </w:pPr>
    </w:p>
    <w:p w14:paraId="67B10812">
      <w:pPr>
        <w:rPr>
          <w:rFonts w:cs="仿宋" w:asciiTheme="minorEastAsia" w:hAnsiTheme="minorEastAsia"/>
          <w:b/>
          <w:bCs/>
          <w:sz w:val="36"/>
          <w:szCs w:val="36"/>
        </w:rPr>
      </w:pPr>
    </w:p>
    <w:p w14:paraId="6B52CDED">
      <w:pPr>
        <w:rPr>
          <w:rFonts w:cs="仿宋" w:asciiTheme="minorEastAsia" w:hAnsiTheme="minorEastAsia"/>
          <w:b/>
          <w:bCs/>
          <w:sz w:val="36"/>
          <w:szCs w:val="36"/>
        </w:rPr>
      </w:pPr>
    </w:p>
    <w:p w14:paraId="21267DBD">
      <w:pPr>
        <w:rPr>
          <w:rFonts w:cs="仿宋" w:asciiTheme="minorEastAsia" w:hAnsiTheme="minorEastAsia"/>
          <w:b/>
          <w:bCs/>
          <w:sz w:val="36"/>
          <w:szCs w:val="36"/>
        </w:rPr>
      </w:pPr>
    </w:p>
    <w:p w14:paraId="3684A450">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9"/>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9"/>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9"/>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9"/>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1"/>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9"/>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9"/>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9"/>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9"/>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9"/>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15"/>
        <w:ind w:left="0" w:leftChars="0" w:firstLine="0" w:firstLineChars="0"/>
        <w:rPr>
          <w:rFonts w:hint="eastAsia" w:cs="仿宋" w:asciiTheme="minorEastAsia" w:hAnsiTheme="minorEastAsia"/>
          <w:b/>
          <w:color w:val="auto"/>
          <w:sz w:val="32"/>
          <w:szCs w:val="20"/>
        </w:rPr>
      </w:pPr>
    </w:p>
    <w:p w14:paraId="08A39AFF">
      <w:pPr>
        <w:pStyle w:val="13"/>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8"/>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8"/>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2"/>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2"/>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2"/>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2"/>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7"/>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2"/>
        <w:spacing w:before="0"/>
        <w:ind w:firstLine="0" w:firstLineChars="0"/>
        <w:jc w:val="center"/>
        <w:rPr>
          <w:rFonts w:cs="仿宋" w:asciiTheme="minorEastAsia" w:hAnsiTheme="minorEastAsia"/>
          <w:b/>
          <w:color w:val="auto"/>
          <w:sz w:val="32"/>
        </w:rPr>
      </w:pPr>
    </w:p>
    <w:p w14:paraId="6D3BDBEA">
      <w:pPr>
        <w:pStyle w:val="22"/>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3"/>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3"/>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3"/>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71637C61">
      <w:pPr>
        <w:pStyle w:val="22"/>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2"/>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2"/>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2"/>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2"/>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7"/>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7"/>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8"/>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741A77D2">
      <w:pPr>
        <w:pStyle w:val="6"/>
        <w:ind w:firstLine="480" w:firstLineChars="200"/>
        <w:rPr>
          <w:rFonts w:hint="default"/>
          <w:lang w:val="en-US"/>
        </w:rPr>
      </w:pPr>
      <w:r>
        <w:rPr>
          <w:rFonts w:hint="eastAsia"/>
          <w:lang w:val="en-US" w:eastAsia="zh-CN"/>
        </w:rPr>
        <w:t>根据《危险废物填埋污染控制标准2019》第10.5条企业应对渗滤滴导排管道要进行定期检测，需</w:t>
      </w:r>
      <w:r>
        <w:rPr>
          <w:rFonts w:hint="eastAsia"/>
          <w:lang w:val="en-US"/>
        </w:rPr>
        <w:t>委托第三方</w:t>
      </w:r>
      <w:r>
        <w:rPr>
          <w:rFonts w:hint="eastAsia"/>
          <w:lang w:val="en-US" w:eastAsia="zh-CN"/>
        </w:rPr>
        <w:t>单位对三固运行中心填埋场南北两侧渗滤液管道进行检测及清洗，</w:t>
      </w:r>
      <w:r>
        <w:rPr>
          <w:rFonts w:hint="eastAsia"/>
          <w:lang w:val="en-US"/>
        </w:rPr>
        <w:t>并出具检测报告</w:t>
      </w:r>
      <w:r>
        <w:rPr>
          <w:rFonts w:hint="eastAsia"/>
          <w:lang w:val="en-US" w:eastAsia="zh-CN"/>
        </w:rPr>
        <w:t>，具体如下：</w:t>
      </w:r>
    </w:p>
    <w:tbl>
      <w:tblPr>
        <w:tblStyle w:val="16"/>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1784"/>
        <w:gridCol w:w="4983"/>
        <w:gridCol w:w="562"/>
        <w:gridCol w:w="625"/>
      </w:tblGrid>
      <w:tr w14:paraId="02BA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5204">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序号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E43">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服务名称</w:t>
            </w:r>
          </w:p>
        </w:tc>
        <w:tc>
          <w:tcPr>
            <w:tcW w:w="4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119">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服务要求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9837">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120">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数量</w:t>
            </w:r>
          </w:p>
        </w:tc>
      </w:tr>
      <w:tr w14:paraId="6368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52F">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1</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CDD">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渗滤液管道检测</w:t>
            </w:r>
          </w:p>
        </w:tc>
        <w:tc>
          <w:tcPr>
            <w:tcW w:w="4983" w:type="dxa"/>
            <w:tcBorders>
              <w:top w:val="single" w:color="000000" w:sz="4" w:space="0"/>
              <w:left w:val="single" w:color="000000" w:sz="4" w:space="0"/>
              <w:bottom w:val="single" w:color="auto" w:sz="4" w:space="0"/>
              <w:right w:val="single" w:color="000000" w:sz="4" w:space="0"/>
            </w:tcBorders>
            <w:shd w:val="clear" w:color="auto" w:fill="auto"/>
            <w:vAlign w:val="center"/>
          </w:tcPr>
          <w:p w14:paraId="03441673">
            <w:pPr>
              <w:keepNext w:val="0"/>
              <w:keepLines w:val="0"/>
              <w:widowControl/>
              <w:suppressLineNumbers w:val="0"/>
              <w:jc w:val="left"/>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1</w:t>
            </w:r>
            <w:r>
              <w:rPr>
                <w:rFonts w:hint="eastAsia" w:ascii="宋体" w:hAnsi="Arial" w:cs="Arial"/>
                <w:snapToGrid w:val="0"/>
                <w:color w:val="auto"/>
                <w:kern w:val="2"/>
                <w:sz w:val="24"/>
                <w:szCs w:val="21"/>
                <w:lang w:val="en-US" w:eastAsia="zh-CN" w:bidi="ar-SA"/>
              </w:rPr>
              <w:t>.每半年对</w:t>
            </w:r>
            <w:r>
              <w:rPr>
                <w:rFonts w:hint="eastAsia" w:ascii="宋体" w:hAnsi="Arial" w:cs="Arial" w:eastAsiaTheme="minorEastAsia"/>
                <w:snapToGrid w:val="0"/>
                <w:color w:val="auto"/>
                <w:kern w:val="2"/>
                <w:sz w:val="24"/>
                <w:szCs w:val="21"/>
                <w:lang w:val="en-US" w:eastAsia="zh-CN" w:bidi="ar-SA"/>
              </w:rPr>
              <w:t>填埋场渗滤液管道</w:t>
            </w:r>
            <w:r>
              <w:rPr>
                <w:rFonts w:hint="eastAsia" w:ascii="宋体" w:hAnsi="Arial" w:cs="Arial"/>
                <w:snapToGrid w:val="0"/>
                <w:color w:val="auto"/>
                <w:kern w:val="2"/>
                <w:sz w:val="24"/>
                <w:szCs w:val="21"/>
                <w:lang w:val="en-US" w:eastAsia="zh-CN" w:bidi="ar-SA"/>
              </w:rPr>
              <w:t>进行</w:t>
            </w:r>
            <w:r>
              <w:rPr>
                <w:rFonts w:hint="eastAsia" w:ascii="宋体" w:hAnsi="Arial" w:cs="Arial" w:eastAsiaTheme="minorEastAsia"/>
                <w:snapToGrid w:val="0"/>
                <w:color w:val="auto"/>
                <w:kern w:val="2"/>
                <w:sz w:val="24"/>
                <w:szCs w:val="21"/>
                <w:lang w:val="en-US" w:eastAsia="zh-CN" w:bidi="ar-SA"/>
              </w:rPr>
              <w:t>检测</w:t>
            </w:r>
            <w:r>
              <w:rPr>
                <w:rFonts w:hint="eastAsia" w:ascii="宋体" w:hAnsi="Arial" w:cs="Arial"/>
                <w:snapToGrid w:val="0"/>
                <w:color w:val="auto"/>
                <w:kern w:val="2"/>
                <w:sz w:val="24"/>
                <w:szCs w:val="21"/>
                <w:lang w:val="en-US" w:eastAsia="zh-CN" w:bidi="ar-SA"/>
              </w:rPr>
              <w:t>（南北两侧各一根，每根</w:t>
            </w:r>
            <w:r>
              <w:rPr>
                <w:rFonts w:hint="eastAsia" w:ascii="宋体" w:hAnsi="Arial" w:cs="Arial" w:eastAsiaTheme="minorEastAsia"/>
                <w:snapToGrid w:val="0"/>
                <w:color w:val="auto"/>
                <w:kern w:val="2"/>
                <w:sz w:val="24"/>
                <w:szCs w:val="21"/>
                <w:lang w:val="en-US" w:eastAsia="zh-CN" w:bidi="ar-SA"/>
              </w:rPr>
              <w:t>渗滤液管道检测</w:t>
            </w:r>
            <w:r>
              <w:rPr>
                <w:rFonts w:hint="eastAsia" w:ascii="宋体" w:hAnsi="Arial" w:cs="Arial"/>
                <w:snapToGrid w:val="0"/>
                <w:color w:val="auto"/>
                <w:kern w:val="2"/>
                <w:sz w:val="24"/>
                <w:szCs w:val="21"/>
                <w:lang w:val="en-US" w:eastAsia="zh-CN" w:bidi="ar-SA"/>
              </w:rPr>
              <w:t>为1次）</w:t>
            </w:r>
            <w:r>
              <w:rPr>
                <w:rFonts w:hint="eastAsia" w:ascii="宋体" w:hAnsi="Arial" w:cs="Arial" w:eastAsiaTheme="minorEastAsia"/>
                <w:snapToGrid w:val="0"/>
                <w:color w:val="auto"/>
                <w:kern w:val="2"/>
                <w:sz w:val="24"/>
                <w:szCs w:val="21"/>
                <w:lang w:val="en-US" w:eastAsia="zh-CN" w:bidi="ar-SA"/>
              </w:rPr>
              <w:br w:type="textWrapping"/>
            </w:r>
            <w:r>
              <w:rPr>
                <w:rFonts w:hint="eastAsia" w:ascii="宋体" w:hAnsi="Arial" w:cs="Arial" w:eastAsiaTheme="minorEastAsia"/>
                <w:snapToGrid w:val="0"/>
                <w:color w:val="auto"/>
                <w:kern w:val="2"/>
                <w:sz w:val="24"/>
                <w:szCs w:val="21"/>
                <w:lang w:val="en-US" w:eastAsia="zh-CN" w:bidi="ar-SA"/>
              </w:rPr>
              <w:t>2</w:t>
            </w:r>
            <w:r>
              <w:rPr>
                <w:rFonts w:hint="eastAsia" w:ascii="宋体" w:hAnsi="Arial" w:cs="Arial"/>
                <w:snapToGrid w:val="0"/>
                <w:color w:val="auto"/>
                <w:kern w:val="2"/>
                <w:sz w:val="24"/>
                <w:szCs w:val="21"/>
                <w:lang w:val="en-US" w:eastAsia="zh-CN" w:bidi="ar-SA"/>
              </w:rPr>
              <w:t>.</w:t>
            </w:r>
            <w:r>
              <w:rPr>
                <w:rFonts w:hint="eastAsia" w:ascii="宋体" w:hAnsi="Arial" w:cs="Arial" w:eastAsiaTheme="minorEastAsia"/>
                <w:snapToGrid w:val="0"/>
                <w:color w:val="auto"/>
                <w:kern w:val="2"/>
                <w:sz w:val="24"/>
                <w:szCs w:val="21"/>
                <w:lang w:val="en-US" w:eastAsia="zh-CN" w:bidi="ar-SA"/>
              </w:rPr>
              <w:t>填埋场渗滤液管道规格：外径DN160、内径DN140，斜面高度10米，长度15米，底部平面长度 130米</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8764">
            <w:pPr>
              <w:keepNext w:val="0"/>
              <w:keepLines w:val="0"/>
              <w:widowControl/>
              <w:suppressLineNumbers w:val="0"/>
              <w:jc w:val="center"/>
              <w:textAlignment w:val="center"/>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1FC">
            <w:pPr>
              <w:keepNext w:val="0"/>
              <w:keepLines w:val="0"/>
              <w:widowControl/>
              <w:suppressLineNumbers w:val="0"/>
              <w:jc w:val="center"/>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4</w:t>
            </w:r>
          </w:p>
        </w:tc>
      </w:tr>
      <w:tr w14:paraId="254A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6D1">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2</w:t>
            </w:r>
          </w:p>
        </w:tc>
        <w:tc>
          <w:tcPr>
            <w:tcW w:w="17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3F667D6">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渗滤液管道冲洗</w:t>
            </w:r>
          </w:p>
        </w:tc>
        <w:tc>
          <w:tcPr>
            <w:tcW w:w="4983" w:type="dxa"/>
            <w:tcBorders>
              <w:top w:val="single" w:color="auto" w:sz="4" w:space="0"/>
              <w:left w:val="single" w:color="auto" w:sz="4" w:space="0"/>
              <w:bottom w:val="single" w:color="auto" w:sz="4" w:space="0"/>
              <w:right w:val="nil"/>
            </w:tcBorders>
            <w:shd w:val="clear" w:color="auto" w:fill="auto"/>
            <w:noWrap/>
            <w:vAlign w:val="center"/>
          </w:tcPr>
          <w:p w14:paraId="1221571C">
            <w:pPr>
              <w:keepNext w:val="0"/>
              <w:keepLines w:val="0"/>
              <w:widowControl/>
              <w:suppressLineNumbers w:val="0"/>
              <w:jc w:val="both"/>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视检测后管道堵塞情况对填埋场渗滤液管道进行冲洗</w:t>
            </w:r>
            <w:r>
              <w:rPr>
                <w:rFonts w:hint="eastAsia" w:ascii="宋体" w:hAnsi="Arial" w:cs="Arial"/>
                <w:snapToGrid w:val="0"/>
                <w:color w:val="auto"/>
                <w:kern w:val="2"/>
                <w:sz w:val="24"/>
                <w:szCs w:val="21"/>
                <w:lang w:val="en-US" w:eastAsia="zh-CN" w:bidi="ar-SA"/>
              </w:rPr>
              <w:t>（每根</w:t>
            </w:r>
            <w:r>
              <w:rPr>
                <w:rFonts w:hint="eastAsia" w:ascii="宋体" w:hAnsi="Arial" w:cs="Arial" w:eastAsiaTheme="minorEastAsia"/>
                <w:snapToGrid w:val="0"/>
                <w:color w:val="auto"/>
                <w:kern w:val="2"/>
                <w:sz w:val="24"/>
                <w:szCs w:val="21"/>
                <w:lang w:val="en-US" w:eastAsia="zh-CN" w:bidi="ar-SA"/>
              </w:rPr>
              <w:t>渗滤液管道冲洗</w:t>
            </w:r>
            <w:r>
              <w:rPr>
                <w:rFonts w:hint="eastAsia" w:ascii="宋体" w:hAnsi="Arial" w:cs="Arial"/>
                <w:snapToGrid w:val="0"/>
                <w:color w:val="auto"/>
                <w:kern w:val="2"/>
                <w:sz w:val="24"/>
                <w:szCs w:val="21"/>
                <w:lang w:val="en-US" w:eastAsia="zh-CN" w:bidi="ar-SA"/>
              </w:rPr>
              <w:t>为1次）</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DB98">
            <w:pPr>
              <w:keepNext w:val="0"/>
              <w:keepLines w:val="0"/>
              <w:widowControl/>
              <w:suppressLineNumbers w:val="0"/>
              <w:jc w:val="center"/>
              <w:textAlignment w:val="center"/>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B8E2">
            <w:pPr>
              <w:keepNext w:val="0"/>
              <w:keepLines w:val="0"/>
              <w:widowControl/>
              <w:suppressLineNumbers w:val="0"/>
              <w:jc w:val="center"/>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4</w:t>
            </w:r>
          </w:p>
        </w:tc>
      </w:tr>
    </w:tbl>
    <w:p w14:paraId="3BCD56D4">
      <w:pPr>
        <w:pStyle w:val="6"/>
        <w:numPr>
          <w:ilvl w:val="0"/>
          <w:numId w:val="0"/>
        </w:numPr>
        <w:ind w:firstLine="482" w:firstLineChars="200"/>
        <w:rPr>
          <w:rFonts w:hint="eastAsia"/>
          <w:b/>
          <w:bCs/>
          <w:color w:val="auto"/>
          <w:lang w:val="en-US" w:eastAsia="zh-CN"/>
        </w:rPr>
      </w:pPr>
      <w:r>
        <w:rPr>
          <w:rFonts w:hint="eastAsia"/>
          <w:b/>
          <w:bCs/>
          <w:color w:val="auto"/>
          <w:lang w:val="en-US" w:eastAsia="zh-CN"/>
        </w:rPr>
        <w:t>二、合同期限及履行方式</w:t>
      </w:r>
    </w:p>
    <w:p w14:paraId="4739A1E7">
      <w:pPr>
        <w:pStyle w:val="6"/>
        <w:ind w:firstLine="480" w:firstLineChars="200"/>
        <w:rPr>
          <w:color w:val="auto"/>
          <w:highlight w:val="none"/>
          <w:lang w:val="en-US"/>
        </w:rPr>
      </w:pPr>
      <w:r>
        <w:rPr>
          <w:rFonts w:hint="eastAsia"/>
          <w:color w:val="auto"/>
          <w:highlight w:val="none"/>
          <w:lang w:val="en-US"/>
        </w:rPr>
        <w:t>1.合同期限：</w:t>
      </w:r>
      <w:r>
        <w:rPr>
          <w:rFonts w:hint="eastAsia"/>
          <w:color w:val="auto"/>
          <w:highlight w:val="none"/>
          <w:u w:val="single"/>
          <w:lang w:val="en-US"/>
        </w:rPr>
        <w:t>自合同签订后</w:t>
      </w:r>
      <w:r>
        <w:rPr>
          <w:rFonts w:hint="eastAsia"/>
          <w:color w:val="auto"/>
          <w:highlight w:val="none"/>
          <w:u w:val="single"/>
          <w:lang w:val="en-US" w:eastAsia="zh-CN"/>
        </w:rPr>
        <w:t>12</w:t>
      </w:r>
      <w:r>
        <w:rPr>
          <w:rFonts w:hint="eastAsia"/>
          <w:color w:val="auto"/>
          <w:highlight w:val="none"/>
          <w:u w:val="single"/>
          <w:lang w:val="en-US"/>
        </w:rPr>
        <w:t>个月</w:t>
      </w:r>
      <w:r>
        <w:rPr>
          <w:rFonts w:hint="eastAsia"/>
          <w:color w:val="auto"/>
          <w:highlight w:val="none"/>
          <w:lang w:val="en-US"/>
        </w:rPr>
        <w:t>；</w:t>
      </w:r>
    </w:p>
    <w:p w14:paraId="238E7441">
      <w:pPr>
        <w:pStyle w:val="6"/>
        <w:ind w:firstLine="480" w:firstLineChars="200"/>
        <w:rPr>
          <w:rFonts w:hint="default" w:eastAsiaTheme="minorEastAsia"/>
          <w:color w:val="auto"/>
          <w:highlight w:val="none"/>
          <w:lang w:val="en-US" w:eastAsia="zh-CN"/>
        </w:rPr>
      </w:pPr>
      <w:r>
        <w:rPr>
          <w:rFonts w:hint="eastAsia"/>
          <w:color w:val="auto"/>
          <w:highlight w:val="none"/>
          <w:lang w:val="en-US"/>
        </w:rPr>
        <w:t>2.履约方式：</w:t>
      </w:r>
      <w:r>
        <w:rPr>
          <w:rFonts w:hint="eastAsia" w:ascii="宋体" w:hAnsi="Arial" w:cs="Arial"/>
          <w:snapToGrid w:val="0"/>
          <w:color w:val="auto"/>
          <w:kern w:val="2"/>
          <w:sz w:val="24"/>
          <w:szCs w:val="21"/>
          <w:lang w:val="en-US" w:eastAsia="zh-CN" w:bidi="ar-SA"/>
        </w:rPr>
        <w:t>每半年对</w:t>
      </w:r>
      <w:r>
        <w:rPr>
          <w:rFonts w:hint="eastAsia" w:ascii="宋体" w:hAnsi="Arial" w:cs="Arial" w:eastAsiaTheme="minorEastAsia"/>
          <w:snapToGrid w:val="0"/>
          <w:color w:val="auto"/>
          <w:kern w:val="2"/>
          <w:sz w:val="24"/>
          <w:szCs w:val="21"/>
          <w:lang w:val="en-US" w:eastAsia="zh-CN" w:bidi="ar-SA"/>
        </w:rPr>
        <w:t>填埋场渗滤液管道</w:t>
      </w:r>
      <w:r>
        <w:rPr>
          <w:rFonts w:hint="eastAsia" w:ascii="宋体" w:hAnsi="Arial" w:cs="Arial"/>
          <w:snapToGrid w:val="0"/>
          <w:color w:val="auto"/>
          <w:kern w:val="2"/>
          <w:sz w:val="24"/>
          <w:szCs w:val="21"/>
          <w:lang w:val="en-US" w:eastAsia="zh-CN" w:bidi="ar-SA"/>
        </w:rPr>
        <w:t>进行</w:t>
      </w:r>
      <w:r>
        <w:rPr>
          <w:rFonts w:hint="eastAsia" w:ascii="宋体" w:hAnsi="Arial" w:cs="Arial" w:eastAsiaTheme="minorEastAsia"/>
          <w:snapToGrid w:val="0"/>
          <w:color w:val="auto"/>
          <w:kern w:val="2"/>
          <w:sz w:val="24"/>
          <w:szCs w:val="21"/>
          <w:lang w:val="en-US" w:eastAsia="zh-CN" w:bidi="ar-SA"/>
        </w:rPr>
        <w:t>检测</w:t>
      </w:r>
      <w:r>
        <w:rPr>
          <w:rFonts w:hint="eastAsia" w:ascii="宋体" w:hAnsi="Arial" w:cs="Arial"/>
          <w:snapToGrid w:val="0"/>
          <w:color w:val="auto"/>
          <w:kern w:val="2"/>
          <w:sz w:val="24"/>
          <w:szCs w:val="21"/>
          <w:lang w:val="en-US" w:eastAsia="zh-CN" w:bidi="ar-SA"/>
        </w:rPr>
        <w:t>（南北两侧各一根）</w:t>
      </w:r>
      <w:r>
        <w:rPr>
          <w:rFonts w:hint="eastAsia" w:cs="Arial"/>
          <w:snapToGrid w:val="0"/>
          <w:color w:val="auto"/>
          <w:kern w:val="2"/>
          <w:sz w:val="24"/>
          <w:szCs w:val="21"/>
          <w:lang w:val="en-US" w:eastAsia="zh-CN" w:bidi="ar-SA"/>
        </w:rPr>
        <w:t>，根据检测情况进行冲洗。</w:t>
      </w:r>
    </w:p>
    <w:p w14:paraId="0CBF3655">
      <w:pPr>
        <w:pStyle w:val="6"/>
        <w:numPr>
          <w:ilvl w:val="0"/>
          <w:numId w:val="0"/>
        </w:numPr>
        <w:ind w:firstLine="480" w:firstLineChars="200"/>
        <w:rPr>
          <w:rFonts w:hint="eastAsia" w:ascii="宋体"/>
          <w:b/>
          <w:bCs/>
          <w:color w:val="auto"/>
          <w:highlight w:val="none"/>
          <w:lang w:val="en-US" w:eastAsia="zh-CN"/>
        </w:rPr>
      </w:pPr>
      <w:r>
        <w:rPr>
          <w:rFonts w:hint="eastAsia" w:ascii="宋体" w:hAnsi="宋体" w:eastAsia="宋体" w:cs="宋体"/>
          <w:sz w:val="24"/>
          <w:highlight w:val="none"/>
        </w:rPr>
        <w:t>▲</w:t>
      </w:r>
      <w:r>
        <w:rPr>
          <w:rFonts w:hint="eastAsia"/>
          <w:b/>
          <w:bCs/>
          <w:color w:val="auto"/>
          <w:highlight w:val="none"/>
          <w:lang w:val="en-US" w:eastAsia="zh-CN"/>
        </w:rPr>
        <w:t>三、技术要求</w:t>
      </w:r>
    </w:p>
    <w:p w14:paraId="1207716C">
      <w:pPr>
        <w:pStyle w:val="6"/>
        <w:ind w:firstLine="480" w:firstLineChars="200"/>
        <w:rPr>
          <w:lang w:val="en-US"/>
        </w:rPr>
      </w:pPr>
      <w:r>
        <w:rPr>
          <w:lang w:val="en-US"/>
        </w:rPr>
        <w:t>1.</w:t>
      </w:r>
      <w:r>
        <w:rPr>
          <w:rFonts w:hint="eastAsia"/>
          <w:lang w:val="en-US"/>
        </w:rPr>
        <w:t>供应商须依据《危险废物填埋污染控制标准》GB18598-2019要求提供检测和清洗服务，并出具检测报告。</w:t>
      </w:r>
    </w:p>
    <w:p w14:paraId="6CBB2579">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2CA826AA">
      <w:pPr>
        <w:pStyle w:val="6"/>
        <w:ind w:firstLine="480" w:firstLineChars="200"/>
        <w:rPr>
          <w:rFonts w:hint="eastAsia"/>
          <w:color w:val="auto"/>
          <w:highlight w:val="none"/>
          <w:lang w:val="en-US" w:eastAsia="zh-CN"/>
        </w:rPr>
      </w:pPr>
      <w:r>
        <w:rPr>
          <w:rFonts w:hint="eastAsia"/>
          <w:color w:val="auto"/>
          <w:highlight w:val="none"/>
          <w:lang w:val="en-US" w:eastAsia="zh-CN"/>
        </w:rPr>
        <w:t>1.若清洗管内异物需清洗至管壁无大块结晶、管内无明显异物。</w:t>
      </w:r>
    </w:p>
    <w:p w14:paraId="71B80F15">
      <w:pPr>
        <w:pStyle w:val="6"/>
        <w:ind w:firstLine="480" w:firstLineChars="200"/>
        <w:rPr>
          <w:rFonts w:hint="eastAsia" w:cs="仿宋" w:asciiTheme="minorEastAsia" w:hAnsiTheme="minorEastAsia"/>
          <w:kern w:val="0"/>
        </w:rPr>
      </w:pPr>
      <w:r>
        <w:rPr>
          <w:rFonts w:hint="eastAsia"/>
          <w:color w:val="auto"/>
          <w:highlight w:val="none"/>
          <w:lang w:val="en-US" w:eastAsia="zh-CN"/>
        </w:rPr>
        <w:t>2.</w:t>
      </w:r>
      <w:r>
        <w:rPr>
          <w:rFonts w:hint="eastAsia" w:hAnsi="Arial" w:cs="Arial"/>
          <w:snapToGrid w:val="0"/>
          <w:szCs w:val="21"/>
          <w:lang w:val="en-US"/>
        </w:rPr>
        <w:t>供应商须根据检测报告出具检测报告</w:t>
      </w:r>
      <w:r>
        <w:rPr>
          <w:rFonts w:hint="eastAsia" w:cs="Arial"/>
          <w:snapToGrid w:val="0"/>
          <w:szCs w:val="21"/>
          <w:lang w:val="en-US" w:eastAsia="zh-CN"/>
        </w:rPr>
        <w:t>，</w:t>
      </w:r>
      <w:r>
        <w:rPr>
          <w:rFonts w:hint="eastAsia"/>
          <w:color w:val="auto"/>
          <w:highlight w:val="none"/>
          <w:lang w:val="en-US" w:eastAsia="zh-CN"/>
        </w:rPr>
        <w:t>能清晰可见管内情况。</w:t>
      </w:r>
    </w:p>
    <w:p w14:paraId="609F659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服务和质量要求</w:t>
      </w:r>
    </w:p>
    <w:p w14:paraId="41E82E46">
      <w:pPr>
        <w:pStyle w:val="6"/>
        <w:ind w:firstLine="480" w:firstLineChars="200"/>
        <w:rPr>
          <w:rFonts w:hint="eastAsia" w:hAnsi="Arial" w:cs="Arial"/>
          <w:snapToGrid w:val="0"/>
          <w:szCs w:val="21"/>
          <w:lang w:val="en-US"/>
        </w:rPr>
      </w:pPr>
      <w:r>
        <w:rPr>
          <w:rFonts w:hint="eastAsia"/>
          <w:lang w:val="en-US"/>
        </w:rPr>
        <w:t>1.</w:t>
      </w:r>
      <w:r>
        <w:rPr>
          <w:rFonts w:hint="eastAsia" w:hAnsi="Arial" w:cs="Arial"/>
          <w:snapToGrid w:val="0"/>
          <w:szCs w:val="21"/>
          <w:lang w:val="en-US"/>
        </w:rPr>
        <w:t>供应商根据检测清洗要求和计划，负责在接到采购人电话或书面通知后在10个工作日内完成检测</w:t>
      </w:r>
      <w:r>
        <w:rPr>
          <w:rFonts w:hint="eastAsia" w:cs="Arial"/>
          <w:snapToGrid w:val="0"/>
          <w:szCs w:val="21"/>
          <w:lang w:val="en-US" w:eastAsia="zh-CN"/>
        </w:rPr>
        <w:t>和</w:t>
      </w:r>
      <w:r>
        <w:rPr>
          <w:rFonts w:hint="eastAsia" w:hAnsi="Arial" w:cs="Arial"/>
          <w:snapToGrid w:val="0"/>
          <w:szCs w:val="21"/>
          <w:lang w:val="en-US"/>
        </w:rPr>
        <w:t>清洗服务，并出具检测报告。若出现意外情况导致检测清洗服务无法一次性完成，应再次到指定现场完成</w:t>
      </w:r>
      <w:r>
        <w:rPr>
          <w:rFonts w:hint="eastAsia" w:cs="Arial"/>
          <w:snapToGrid w:val="0"/>
          <w:szCs w:val="21"/>
          <w:lang w:val="en-US" w:eastAsia="zh-CN"/>
        </w:rPr>
        <w:t>清洗</w:t>
      </w:r>
      <w:r>
        <w:rPr>
          <w:rFonts w:hint="eastAsia" w:hAnsi="Arial" w:cs="Arial"/>
          <w:snapToGrid w:val="0"/>
          <w:szCs w:val="21"/>
          <w:lang w:val="en-US"/>
        </w:rPr>
        <w:t>服务。</w:t>
      </w:r>
    </w:p>
    <w:p w14:paraId="15518E80">
      <w:pPr>
        <w:pStyle w:val="15"/>
        <w:ind w:firstLine="480" w:firstLineChars="200"/>
        <w:rPr>
          <w:lang w:val="en-US"/>
        </w:rPr>
      </w:pPr>
      <w:r>
        <w:rPr>
          <w:rFonts w:hint="eastAsia" w:hAnsi="Arial" w:cs="Arial"/>
          <w:snapToGrid w:val="0"/>
          <w:szCs w:val="21"/>
          <w:lang w:val="en-US" w:eastAsia="zh-CN"/>
        </w:rPr>
        <w:t>2</w:t>
      </w:r>
      <w:r>
        <w:rPr>
          <w:rFonts w:hint="eastAsia" w:hAnsi="Arial" w:cs="Arial"/>
          <w:snapToGrid w:val="0"/>
          <w:szCs w:val="21"/>
          <w:lang w:val="en-US"/>
        </w:rPr>
        <w:t>.</w:t>
      </w:r>
      <w:r>
        <w:rPr>
          <w:rFonts w:hint="eastAsia"/>
          <w:lang w:val="en-US"/>
        </w:rPr>
        <w:t>供应商</w:t>
      </w:r>
      <w:r>
        <w:rPr>
          <w:rFonts w:hint="eastAsia" w:hAnsi="Arial" w:cs="Arial"/>
          <w:snapToGrid w:val="0"/>
          <w:szCs w:val="21"/>
          <w:lang w:val="en-US"/>
        </w:rPr>
        <w:t>负责技术服务过程中的机械及人员的安全，加强对技术服务人员的安全教育及防范措施，</w:t>
      </w:r>
      <w:r>
        <w:rPr>
          <w:rFonts w:hint="eastAsia"/>
          <w:lang w:val="en-US"/>
        </w:rPr>
        <w:t>供应商</w:t>
      </w:r>
      <w:r>
        <w:rPr>
          <w:rFonts w:hint="eastAsia" w:hAnsi="Arial" w:cs="Arial"/>
          <w:snapToGrid w:val="0"/>
          <w:szCs w:val="21"/>
          <w:lang w:val="en-US"/>
        </w:rPr>
        <w:t>技术服务过程中发生的任何质量、安全责任事故及工伤事故等，责任均由</w:t>
      </w:r>
      <w:r>
        <w:rPr>
          <w:rFonts w:hint="eastAsia"/>
          <w:lang w:val="en-US"/>
        </w:rPr>
        <w:t>供应商</w:t>
      </w:r>
      <w:r>
        <w:rPr>
          <w:rFonts w:hint="eastAsia" w:hAnsi="Arial" w:cs="Arial"/>
          <w:snapToGrid w:val="0"/>
          <w:szCs w:val="21"/>
          <w:lang w:val="en-US"/>
        </w:rPr>
        <w:t>承担。</w:t>
      </w:r>
    </w:p>
    <w:p w14:paraId="166459F3">
      <w:pPr>
        <w:pStyle w:val="6"/>
        <w:numPr>
          <w:ilvl w:val="0"/>
          <w:numId w:val="0"/>
        </w:numPr>
        <w:ind w:firstLine="480" w:firstLineChars="200"/>
        <w:rPr>
          <w:rFonts w:hint="eastAsia" w:ascii="宋体"/>
          <w:color w:val="auto"/>
          <w:lang w:val="en-US" w:eastAsia="zh-CN"/>
        </w:rPr>
      </w:pPr>
      <w:r>
        <w:rPr>
          <w:rFonts w:hint="eastAsia"/>
          <w:color w:val="auto"/>
          <w:lang w:val="en-US" w:eastAsia="zh-CN"/>
        </w:rPr>
        <w:t>3</w:t>
      </w:r>
      <w:r>
        <w:rPr>
          <w:rFonts w:hint="eastAsia" w:ascii="宋体"/>
          <w:color w:val="auto"/>
          <w:lang w:val="en-US" w:eastAsia="zh-CN"/>
        </w:rPr>
        <w:t>.</w:t>
      </w:r>
      <w:r>
        <w:rPr>
          <w:rFonts w:hint="eastAsia"/>
          <w:color w:val="auto"/>
          <w:lang w:val="en-US" w:eastAsia="zh-CN"/>
        </w:rPr>
        <w:t>服务</w:t>
      </w:r>
      <w:r>
        <w:rPr>
          <w:rFonts w:hint="eastAsia" w:ascii="宋体"/>
          <w:color w:val="auto"/>
          <w:lang w:val="en-US" w:eastAsia="zh-CN"/>
        </w:rPr>
        <w:t>期间如因供应商原因发生设备、人身等安全事故由供应商承担赔偿责任。供应商应对其员工的安全负责。</w:t>
      </w:r>
    </w:p>
    <w:p w14:paraId="49E39B9C">
      <w:pPr>
        <w:pStyle w:val="6"/>
        <w:numPr>
          <w:ilvl w:val="0"/>
          <w:numId w:val="0"/>
        </w:numPr>
        <w:ind w:firstLine="480" w:firstLineChars="200"/>
        <w:rPr>
          <w:rFonts w:hint="eastAsia" w:ascii="宋体"/>
          <w:color w:val="auto"/>
          <w:lang w:val="en-US" w:eastAsia="zh-CN"/>
        </w:rPr>
      </w:pPr>
      <w:r>
        <w:rPr>
          <w:rFonts w:hint="eastAsia"/>
          <w:color w:val="auto"/>
          <w:lang w:val="en-US" w:eastAsia="zh-CN"/>
        </w:rPr>
        <w:t>4</w:t>
      </w:r>
      <w:r>
        <w:rPr>
          <w:rFonts w:hint="eastAsia" w:ascii="宋体"/>
          <w:color w:val="auto"/>
          <w:lang w:val="en-US" w:eastAsia="zh-CN"/>
        </w:rPr>
        <w:t>.</w:t>
      </w:r>
      <w:r>
        <w:rPr>
          <w:rFonts w:hint="eastAsia"/>
          <w:color w:val="auto"/>
          <w:lang w:val="en-US" w:eastAsia="zh-CN"/>
        </w:rPr>
        <w:t>服务所需</w:t>
      </w:r>
      <w:r>
        <w:rPr>
          <w:rFonts w:hint="eastAsia" w:ascii="宋体"/>
          <w:color w:val="auto"/>
          <w:lang w:val="en-US" w:eastAsia="zh-CN"/>
        </w:rPr>
        <w:t>设备、工具等由供应商负责，</w:t>
      </w:r>
      <w:r>
        <w:rPr>
          <w:rFonts w:hint="eastAsia"/>
          <w:color w:val="auto"/>
          <w:lang w:val="en-US" w:eastAsia="zh-CN"/>
        </w:rPr>
        <w:t>人员食宿自理，</w:t>
      </w:r>
      <w:r>
        <w:rPr>
          <w:rFonts w:hint="eastAsia" w:ascii="宋体"/>
          <w:color w:val="auto"/>
          <w:lang w:val="en-US" w:eastAsia="zh-CN"/>
        </w:rPr>
        <w:t>所需费用由供应商自行承担。</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15"/>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12</w:t>
      </w:r>
      <w:r>
        <w:rPr>
          <w:rFonts w:hint="eastAsia" w:ascii="宋体"/>
          <w:highlight w:val="none"/>
          <w:lang w:val="en-US"/>
        </w:rPr>
        <w:t>小时内做出书面答复并提供解决方案。若需要派遣技术人员，则应在接到采购人通知后,</w:t>
      </w:r>
      <w:r>
        <w:rPr>
          <w:rFonts w:hint="eastAsia"/>
          <w:lang w:val="en-US" w:eastAsia="zh-CN"/>
        </w:rPr>
        <w:t>24</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2134"/>
      <w:bookmarkEnd w:id="19"/>
      <w:bookmarkStart w:id="20" w:name="_Toc184310279"/>
      <w:bookmarkEnd w:id="20"/>
      <w:bookmarkStart w:id="21" w:name="_Toc184312123"/>
      <w:bookmarkEnd w:id="21"/>
      <w:bookmarkStart w:id="22" w:name="_Toc184314443"/>
      <w:bookmarkEnd w:id="22"/>
      <w:bookmarkStart w:id="23" w:name="_Toc184308071"/>
      <w:bookmarkEnd w:id="23"/>
      <w:bookmarkStart w:id="24" w:name="_Toc184314428"/>
      <w:bookmarkEnd w:id="24"/>
      <w:bookmarkStart w:id="25" w:name="_Toc184310335"/>
      <w:bookmarkEnd w:id="25"/>
      <w:bookmarkStart w:id="26" w:name="_Toc184308108"/>
      <w:bookmarkEnd w:id="26"/>
      <w:bookmarkStart w:id="27" w:name="_Toc184314439"/>
      <w:bookmarkEnd w:id="27"/>
      <w:bookmarkStart w:id="28" w:name="_Toc184312090"/>
      <w:bookmarkEnd w:id="28"/>
      <w:bookmarkStart w:id="29" w:name="_Toc184314452"/>
      <w:bookmarkEnd w:id="29"/>
      <w:bookmarkStart w:id="30" w:name="_Toc184313252"/>
      <w:bookmarkEnd w:id="30"/>
      <w:bookmarkStart w:id="31" w:name="_Toc184314410"/>
      <w:bookmarkEnd w:id="31"/>
      <w:bookmarkStart w:id="32" w:name="_Toc184308069"/>
      <w:bookmarkEnd w:id="32"/>
      <w:bookmarkStart w:id="33" w:name="_Toc184310337"/>
      <w:bookmarkEnd w:id="33"/>
      <w:bookmarkStart w:id="34" w:name="_Toc184312104"/>
      <w:bookmarkEnd w:id="34"/>
      <w:bookmarkStart w:id="35" w:name="_Toc184308102"/>
      <w:bookmarkEnd w:id="35"/>
      <w:bookmarkStart w:id="36" w:name="_Toc184308096"/>
      <w:bookmarkEnd w:id="36"/>
      <w:bookmarkStart w:id="37" w:name="_Toc184308077"/>
      <w:bookmarkEnd w:id="37"/>
      <w:bookmarkStart w:id="38" w:name="_Toc184314423"/>
      <w:bookmarkEnd w:id="38"/>
      <w:bookmarkStart w:id="39" w:name="_Toc184313249"/>
      <w:bookmarkEnd w:id="39"/>
      <w:bookmarkStart w:id="40" w:name="_Toc184310285"/>
      <w:bookmarkEnd w:id="40"/>
      <w:bookmarkStart w:id="41" w:name="_Toc184313291"/>
      <w:bookmarkEnd w:id="41"/>
      <w:bookmarkStart w:id="42" w:name="_Toc184308042"/>
      <w:bookmarkEnd w:id="42"/>
      <w:bookmarkStart w:id="43" w:name="_Toc184313238"/>
      <w:bookmarkEnd w:id="43"/>
      <w:bookmarkStart w:id="44" w:name="_Toc184308040"/>
      <w:bookmarkEnd w:id="44"/>
      <w:bookmarkStart w:id="45" w:name="_Toc184310342"/>
      <w:bookmarkEnd w:id="45"/>
      <w:bookmarkStart w:id="46" w:name="_Toc184314413"/>
      <w:bookmarkEnd w:id="46"/>
      <w:bookmarkStart w:id="47" w:name="_Toc184310320"/>
      <w:bookmarkEnd w:id="47"/>
      <w:bookmarkStart w:id="48" w:name="_Toc184308085"/>
      <w:bookmarkEnd w:id="48"/>
      <w:bookmarkStart w:id="49" w:name="_Toc184313283"/>
      <w:bookmarkEnd w:id="49"/>
      <w:bookmarkStart w:id="50" w:name="_Toc184312114"/>
      <w:bookmarkEnd w:id="50"/>
      <w:bookmarkStart w:id="51" w:name="_Toc184313296"/>
      <w:bookmarkEnd w:id="51"/>
      <w:bookmarkStart w:id="52" w:name="_Toc184313254"/>
      <w:bookmarkEnd w:id="52"/>
      <w:bookmarkStart w:id="53" w:name="_Toc184310343"/>
      <w:bookmarkEnd w:id="53"/>
      <w:bookmarkStart w:id="54" w:name="_Toc184312094"/>
      <w:bookmarkEnd w:id="54"/>
      <w:bookmarkStart w:id="55" w:name="_Toc184313274"/>
      <w:bookmarkEnd w:id="55"/>
      <w:bookmarkStart w:id="56" w:name="_Toc184313260"/>
      <w:bookmarkEnd w:id="56"/>
      <w:bookmarkStart w:id="57" w:name="_Toc184313271"/>
      <w:bookmarkEnd w:id="57"/>
      <w:bookmarkStart w:id="58" w:name="_Toc184314415"/>
      <w:bookmarkEnd w:id="58"/>
      <w:bookmarkStart w:id="59" w:name="_Toc184313241"/>
      <w:bookmarkEnd w:id="59"/>
      <w:bookmarkStart w:id="60" w:name="_Toc184310339"/>
      <w:bookmarkEnd w:id="60"/>
      <w:bookmarkStart w:id="61" w:name="_Toc184310317"/>
      <w:bookmarkEnd w:id="61"/>
      <w:bookmarkStart w:id="62" w:name="_Toc184310284"/>
      <w:bookmarkEnd w:id="62"/>
      <w:bookmarkStart w:id="63" w:name="_Toc184312126"/>
      <w:bookmarkEnd w:id="63"/>
      <w:bookmarkStart w:id="64" w:name="_Toc184312136"/>
      <w:bookmarkEnd w:id="64"/>
      <w:bookmarkStart w:id="65" w:name="_Toc184308056"/>
      <w:bookmarkEnd w:id="65"/>
      <w:bookmarkStart w:id="66" w:name="_Toc184313263"/>
      <w:bookmarkEnd w:id="66"/>
      <w:bookmarkStart w:id="67" w:name="_Toc184314468"/>
      <w:bookmarkEnd w:id="67"/>
      <w:bookmarkStart w:id="68" w:name="_Toc184313293"/>
      <w:bookmarkEnd w:id="68"/>
      <w:bookmarkStart w:id="69" w:name="_Toc184312105"/>
      <w:bookmarkEnd w:id="69"/>
      <w:bookmarkStart w:id="70" w:name="_Toc184312082"/>
      <w:bookmarkEnd w:id="70"/>
      <w:bookmarkStart w:id="71" w:name="_Toc184314461"/>
      <w:bookmarkEnd w:id="71"/>
      <w:bookmarkStart w:id="72" w:name="_Toc184313304"/>
      <w:bookmarkEnd w:id="72"/>
      <w:bookmarkStart w:id="73" w:name="_Toc184310294"/>
      <w:bookmarkEnd w:id="73"/>
      <w:bookmarkStart w:id="74" w:name="_Toc184308057"/>
      <w:bookmarkEnd w:id="74"/>
      <w:bookmarkStart w:id="75" w:name="_Toc184308100"/>
      <w:bookmarkEnd w:id="75"/>
      <w:bookmarkStart w:id="76" w:name="_Toc184308079"/>
      <w:bookmarkEnd w:id="76"/>
      <w:bookmarkStart w:id="77" w:name="_Toc184313285"/>
      <w:bookmarkEnd w:id="77"/>
      <w:bookmarkStart w:id="78" w:name="_Toc184313272"/>
      <w:bookmarkEnd w:id="78"/>
      <w:bookmarkStart w:id="79" w:name="_Toc184308067"/>
      <w:bookmarkEnd w:id="79"/>
      <w:bookmarkStart w:id="80" w:name="_Toc184308070"/>
      <w:bookmarkEnd w:id="80"/>
      <w:bookmarkStart w:id="81" w:name="_Toc184314448"/>
      <w:bookmarkEnd w:id="81"/>
      <w:bookmarkStart w:id="82" w:name="_Toc184310326"/>
      <w:bookmarkEnd w:id="82"/>
      <w:bookmarkStart w:id="83" w:name="_Toc184314429"/>
      <w:bookmarkEnd w:id="83"/>
      <w:bookmarkStart w:id="84" w:name="_Toc184312084"/>
      <w:bookmarkEnd w:id="84"/>
      <w:bookmarkStart w:id="85" w:name="_Toc184313289"/>
      <w:bookmarkEnd w:id="85"/>
      <w:bookmarkStart w:id="86" w:name="_Toc184314472"/>
      <w:bookmarkEnd w:id="86"/>
      <w:bookmarkStart w:id="87" w:name="_Toc184308048"/>
      <w:bookmarkEnd w:id="87"/>
      <w:bookmarkStart w:id="88" w:name="_Toc184308088"/>
      <w:bookmarkEnd w:id="88"/>
      <w:bookmarkStart w:id="89" w:name="_Toc184313258"/>
      <w:bookmarkEnd w:id="89"/>
      <w:bookmarkStart w:id="90" w:name="_Toc184314482"/>
      <w:bookmarkEnd w:id="90"/>
      <w:bookmarkStart w:id="91" w:name="_Toc184308063"/>
      <w:bookmarkEnd w:id="91"/>
      <w:bookmarkStart w:id="92" w:name="_Toc184312088"/>
      <w:bookmarkEnd w:id="92"/>
      <w:bookmarkStart w:id="93" w:name="_Toc184314434"/>
      <w:bookmarkEnd w:id="93"/>
      <w:bookmarkStart w:id="94" w:name="_Toc184308091"/>
      <w:bookmarkEnd w:id="94"/>
      <w:bookmarkStart w:id="95" w:name="_Toc184314480"/>
      <w:bookmarkEnd w:id="95"/>
      <w:bookmarkStart w:id="96" w:name="_Toc184314421"/>
      <w:bookmarkEnd w:id="96"/>
      <w:bookmarkStart w:id="97" w:name="_Toc184312117"/>
      <w:bookmarkEnd w:id="97"/>
      <w:bookmarkStart w:id="98" w:name="_Toc184313268"/>
      <w:bookmarkEnd w:id="98"/>
      <w:bookmarkStart w:id="99" w:name="_Toc184312071"/>
      <w:bookmarkEnd w:id="99"/>
      <w:bookmarkStart w:id="100" w:name="_Toc184310288"/>
      <w:bookmarkEnd w:id="100"/>
      <w:bookmarkStart w:id="101" w:name="_Toc184312080"/>
      <w:bookmarkEnd w:id="101"/>
      <w:bookmarkStart w:id="102" w:name="_Toc184313262"/>
      <w:bookmarkEnd w:id="102"/>
      <w:bookmarkStart w:id="103" w:name="_Toc184313300"/>
      <w:bookmarkEnd w:id="103"/>
      <w:bookmarkStart w:id="104" w:name="_Toc184310286"/>
      <w:bookmarkEnd w:id="104"/>
      <w:bookmarkStart w:id="105" w:name="_Toc184314414"/>
      <w:bookmarkEnd w:id="105"/>
      <w:bookmarkStart w:id="106" w:name="_Toc184313273"/>
      <w:bookmarkEnd w:id="106"/>
      <w:bookmarkStart w:id="107" w:name="_Toc184312099"/>
      <w:bookmarkEnd w:id="107"/>
      <w:bookmarkStart w:id="108" w:name="_Toc184312086"/>
      <w:bookmarkEnd w:id="108"/>
      <w:bookmarkStart w:id="109" w:name="_Toc184312087"/>
      <w:bookmarkEnd w:id="109"/>
      <w:bookmarkStart w:id="110" w:name="_Toc184314447"/>
      <w:bookmarkEnd w:id="110"/>
      <w:bookmarkStart w:id="111" w:name="_Toc184314476"/>
      <w:bookmarkEnd w:id="111"/>
      <w:bookmarkStart w:id="112" w:name="_Toc184314426"/>
      <w:bookmarkEnd w:id="112"/>
      <w:bookmarkStart w:id="113" w:name="_Toc184308103"/>
      <w:bookmarkEnd w:id="113"/>
      <w:bookmarkStart w:id="114" w:name="_Toc184313242"/>
      <w:bookmarkEnd w:id="114"/>
      <w:bookmarkStart w:id="115" w:name="_Toc184314459"/>
      <w:bookmarkEnd w:id="115"/>
      <w:bookmarkStart w:id="116" w:name="_Toc184310323"/>
      <w:bookmarkEnd w:id="116"/>
      <w:bookmarkStart w:id="117" w:name="_Toc184313246"/>
      <w:bookmarkEnd w:id="117"/>
      <w:bookmarkStart w:id="118" w:name="_Toc184313259"/>
      <w:bookmarkEnd w:id="118"/>
      <w:bookmarkStart w:id="119" w:name="_Toc184313250"/>
      <w:bookmarkEnd w:id="119"/>
      <w:bookmarkStart w:id="120" w:name="_Toc184310283"/>
      <w:bookmarkEnd w:id="120"/>
      <w:bookmarkStart w:id="121" w:name="_Toc184314479"/>
      <w:bookmarkEnd w:id="121"/>
      <w:bookmarkStart w:id="122" w:name="_Toc184308090"/>
      <w:bookmarkEnd w:id="122"/>
      <w:bookmarkStart w:id="123" w:name="_Toc184313287"/>
      <w:bookmarkEnd w:id="123"/>
      <w:bookmarkStart w:id="124" w:name="_Toc184312106"/>
      <w:bookmarkEnd w:id="124"/>
      <w:bookmarkStart w:id="125" w:name="_Toc184308106"/>
      <w:bookmarkEnd w:id="125"/>
      <w:bookmarkStart w:id="126" w:name="_Toc184313243"/>
      <w:bookmarkEnd w:id="126"/>
      <w:bookmarkStart w:id="127" w:name="_Toc184308053"/>
      <w:bookmarkEnd w:id="127"/>
      <w:bookmarkStart w:id="128" w:name="_Toc184314430"/>
      <w:bookmarkEnd w:id="128"/>
      <w:bookmarkStart w:id="129" w:name="_Toc184310291"/>
      <w:bookmarkEnd w:id="129"/>
      <w:bookmarkStart w:id="130" w:name="_Toc184314425"/>
      <w:bookmarkEnd w:id="130"/>
      <w:bookmarkStart w:id="131" w:name="_Toc184314419"/>
      <w:bookmarkEnd w:id="131"/>
      <w:bookmarkStart w:id="132" w:name="_Toc184312069"/>
      <w:bookmarkEnd w:id="132"/>
      <w:bookmarkStart w:id="133" w:name="_Toc184310298"/>
      <w:bookmarkEnd w:id="133"/>
      <w:bookmarkStart w:id="134" w:name="_Toc184308068"/>
      <w:bookmarkEnd w:id="134"/>
      <w:bookmarkStart w:id="135" w:name="_Toc184313248"/>
      <w:bookmarkEnd w:id="135"/>
      <w:bookmarkStart w:id="136" w:name="_Toc184308082"/>
      <w:bookmarkEnd w:id="136"/>
      <w:bookmarkStart w:id="137" w:name="_Toc184314456"/>
      <w:bookmarkEnd w:id="137"/>
      <w:bookmarkStart w:id="138" w:name="_Toc184310290"/>
      <w:bookmarkEnd w:id="138"/>
      <w:bookmarkStart w:id="139" w:name="_Toc184314460"/>
      <w:bookmarkEnd w:id="139"/>
      <w:bookmarkStart w:id="140" w:name="_Toc184312098"/>
      <w:bookmarkEnd w:id="140"/>
      <w:bookmarkStart w:id="141" w:name="_Toc184313281"/>
      <w:bookmarkEnd w:id="141"/>
      <w:bookmarkStart w:id="142" w:name="_Toc184314417"/>
      <w:bookmarkEnd w:id="142"/>
      <w:bookmarkStart w:id="143" w:name="_Toc184312075"/>
      <w:bookmarkEnd w:id="143"/>
      <w:bookmarkStart w:id="144" w:name="_Toc184313264"/>
      <w:bookmarkEnd w:id="144"/>
      <w:bookmarkStart w:id="145" w:name="_Toc184313307"/>
      <w:bookmarkEnd w:id="145"/>
      <w:bookmarkStart w:id="146" w:name="_Toc184310331"/>
      <w:bookmarkEnd w:id="146"/>
      <w:bookmarkStart w:id="147" w:name="_Toc184314445"/>
      <w:bookmarkEnd w:id="147"/>
      <w:bookmarkStart w:id="148" w:name="_Toc184308043"/>
      <w:bookmarkEnd w:id="148"/>
      <w:bookmarkStart w:id="149" w:name="_Toc184313265"/>
      <w:bookmarkEnd w:id="149"/>
      <w:bookmarkStart w:id="150" w:name="_Toc184308065"/>
      <w:bookmarkEnd w:id="150"/>
      <w:bookmarkStart w:id="151" w:name="_Toc184313244"/>
      <w:bookmarkEnd w:id="151"/>
      <w:bookmarkStart w:id="152" w:name="_Toc184310293"/>
      <w:bookmarkEnd w:id="152"/>
      <w:bookmarkStart w:id="153" w:name="_Toc184308037"/>
      <w:bookmarkEnd w:id="153"/>
      <w:bookmarkStart w:id="154" w:name="_Toc184312109"/>
      <w:bookmarkEnd w:id="154"/>
      <w:bookmarkStart w:id="155" w:name="_Toc184314449"/>
      <w:bookmarkEnd w:id="155"/>
      <w:bookmarkStart w:id="156" w:name="_Toc184314441"/>
      <w:bookmarkEnd w:id="156"/>
      <w:bookmarkStart w:id="157" w:name="_Toc184313295"/>
      <w:bookmarkEnd w:id="157"/>
      <w:bookmarkStart w:id="158" w:name="_Toc184310344"/>
      <w:bookmarkEnd w:id="158"/>
      <w:bookmarkStart w:id="159" w:name="_Toc184314418"/>
      <w:bookmarkEnd w:id="159"/>
      <w:bookmarkStart w:id="160" w:name="_Toc184312115"/>
      <w:bookmarkEnd w:id="160"/>
      <w:bookmarkStart w:id="161" w:name="_Toc184313277"/>
      <w:bookmarkEnd w:id="161"/>
      <w:bookmarkStart w:id="162" w:name="_Toc184310340"/>
      <w:bookmarkEnd w:id="162"/>
      <w:bookmarkStart w:id="163" w:name="_Toc184308105"/>
      <w:bookmarkEnd w:id="163"/>
      <w:bookmarkStart w:id="164" w:name="_Toc184314458"/>
      <w:bookmarkEnd w:id="164"/>
      <w:bookmarkStart w:id="165" w:name="_Toc184310292"/>
      <w:bookmarkEnd w:id="165"/>
      <w:bookmarkStart w:id="166" w:name="_Toc184312127"/>
      <w:bookmarkEnd w:id="166"/>
      <w:bookmarkStart w:id="167" w:name="_Toc184312135"/>
      <w:bookmarkEnd w:id="167"/>
      <w:bookmarkStart w:id="168" w:name="_Toc184314478"/>
      <w:bookmarkEnd w:id="168"/>
      <w:bookmarkStart w:id="169" w:name="_Toc184313290"/>
      <w:bookmarkEnd w:id="169"/>
      <w:bookmarkStart w:id="170" w:name="_Toc184313286"/>
      <w:bookmarkEnd w:id="170"/>
      <w:bookmarkStart w:id="171" w:name="_Toc184310312"/>
      <w:bookmarkEnd w:id="171"/>
      <w:bookmarkStart w:id="172" w:name="_Toc184308036"/>
      <w:bookmarkEnd w:id="172"/>
      <w:bookmarkStart w:id="173" w:name="_Toc184310300"/>
      <w:bookmarkEnd w:id="173"/>
      <w:bookmarkStart w:id="174" w:name="_Toc184313253"/>
      <w:bookmarkEnd w:id="174"/>
      <w:bookmarkStart w:id="175" w:name="_Toc184314477"/>
      <w:bookmarkEnd w:id="175"/>
      <w:bookmarkStart w:id="176" w:name="_Toc184313276"/>
      <w:bookmarkEnd w:id="176"/>
      <w:bookmarkStart w:id="177" w:name="_Toc184314411"/>
      <w:bookmarkEnd w:id="177"/>
      <w:bookmarkStart w:id="178" w:name="_Toc184312139"/>
      <w:bookmarkEnd w:id="178"/>
      <w:bookmarkStart w:id="179" w:name="_Toc184313302"/>
      <w:bookmarkEnd w:id="179"/>
      <w:bookmarkStart w:id="180" w:name="_Toc184314470"/>
      <w:bookmarkEnd w:id="180"/>
      <w:bookmarkStart w:id="181" w:name="_Toc184310276"/>
      <w:bookmarkEnd w:id="181"/>
      <w:bookmarkStart w:id="182" w:name="_Toc184308099"/>
      <w:bookmarkEnd w:id="182"/>
      <w:bookmarkStart w:id="183" w:name="_Toc184314424"/>
      <w:bookmarkEnd w:id="183"/>
      <w:bookmarkStart w:id="184" w:name="_Toc184313279"/>
      <w:bookmarkEnd w:id="184"/>
      <w:bookmarkStart w:id="185" w:name="_Toc184314467"/>
      <w:bookmarkEnd w:id="185"/>
      <w:bookmarkStart w:id="186" w:name="_Toc184308101"/>
      <w:bookmarkEnd w:id="186"/>
      <w:bookmarkStart w:id="187" w:name="_Toc184310274"/>
      <w:bookmarkEnd w:id="187"/>
      <w:bookmarkStart w:id="188" w:name="_Toc184310322"/>
      <w:bookmarkEnd w:id="188"/>
      <w:bookmarkStart w:id="189" w:name="_Toc184313282"/>
      <w:bookmarkEnd w:id="189"/>
      <w:bookmarkStart w:id="190" w:name="_Toc184314466"/>
      <w:bookmarkEnd w:id="190"/>
      <w:bookmarkStart w:id="191" w:name="_Toc184314463"/>
      <w:bookmarkEnd w:id="191"/>
      <w:bookmarkStart w:id="192" w:name="_Toc184314481"/>
      <w:bookmarkEnd w:id="192"/>
      <w:bookmarkStart w:id="193" w:name="_Toc184308092"/>
      <w:bookmarkEnd w:id="193"/>
      <w:bookmarkStart w:id="194" w:name="_Toc184313257"/>
      <w:bookmarkEnd w:id="194"/>
      <w:bookmarkStart w:id="195" w:name="_Toc184312096"/>
      <w:bookmarkEnd w:id="195"/>
      <w:bookmarkStart w:id="196" w:name="_Toc184314432"/>
      <w:bookmarkEnd w:id="196"/>
      <w:bookmarkStart w:id="197" w:name="_Toc184308083"/>
      <w:bookmarkEnd w:id="197"/>
      <w:bookmarkStart w:id="198" w:name="_Toc184314453"/>
      <w:bookmarkEnd w:id="198"/>
      <w:bookmarkStart w:id="199" w:name="_Toc184310336"/>
      <w:bookmarkEnd w:id="199"/>
      <w:bookmarkStart w:id="200" w:name="_Toc184314442"/>
      <w:bookmarkEnd w:id="200"/>
      <w:bookmarkStart w:id="201" w:name="_Toc184312085"/>
      <w:bookmarkEnd w:id="201"/>
      <w:bookmarkStart w:id="202" w:name="_Toc184312108"/>
      <w:bookmarkEnd w:id="202"/>
      <w:bookmarkStart w:id="203" w:name="_Toc184310327"/>
      <w:bookmarkEnd w:id="203"/>
      <w:bookmarkStart w:id="204" w:name="_Toc184310275"/>
      <w:bookmarkEnd w:id="204"/>
      <w:bookmarkStart w:id="205" w:name="_Toc184314422"/>
      <w:bookmarkEnd w:id="205"/>
      <w:bookmarkStart w:id="206" w:name="_Toc184310307"/>
      <w:bookmarkEnd w:id="206"/>
      <w:bookmarkStart w:id="207" w:name="_Toc184310295"/>
      <w:bookmarkEnd w:id="207"/>
      <w:bookmarkStart w:id="208" w:name="_Toc184308038"/>
      <w:bookmarkEnd w:id="208"/>
      <w:bookmarkStart w:id="209" w:name="_Toc184314473"/>
      <w:bookmarkEnd w:id="209"/>
      <w:bookmarkStart w:id="210" w:name="_Toc184314427"/>
      <w:bookmarkEnd w:id="210"/>
      <w:bookmarkStart w:id="211" w:name="_Toc184312076"/>
      <w:bookmarkEnd w:id="211"/>
      <w:bookmarkStart w:id="212" w:name="_Toc184314446"/>
      <w:bookmarkEnd w:id="212"/>
      <w:bookmarkStart w:id="213" w:name="_Toc184314431"/>
      <w:bookmarkEnd w:id="213"/>
      <w:bookmarkStart w:id="214" w:name="_Toc184308044"/>
      <w:bookmarkEnd w:id="214"/>
      <w:bookmarkStart w:id="215" w:name="_Toc184313270"/>
      <w:bookmarkEnd w:id="215"/>
      <w:bookmarkStart w:id="216" w:name="_Toc184310289"/>
      <w:bookmarkEnd w:id="216"/>
      <w:bookmarkStart w:id="217" w:name="_Toc184314451"/>
      <w:bookmarkEnd w:id="217"/>
      <w:bookmarkStart w:id="218" w:name="_Toc184310282"/>
      <w:bookmarkEnd w:id="218"/>
      <w:bookmarkStart w:id="219" w:name="_Toc184310330"/>
      <w:bookmarkEnd w:id="219"/>
      <w:bookmarkStart w:id="220" w:name="_Toc184310321"/>
      <w:bookmarkEnd w:id="220"/>
      <w:bookmarkStart w:id="221" w:name="_Toc184308080"/>
      <w:bookmarkEnd w:id="221"/>
      <w:bookmarkStart w:id="222" w:name="_Toc184314433"/>
      <w:bookmarkEnd w:id="222"/>
      <w:bookmarkStart w:id="223" w:name="_Toc184314464"/>
      <w:bookmarkEnd w:id="223"/>
      <w:bookmarkStart w:id="224" w:name="_Toc184313294"/>
      <w:bookmarkEnd w:id="224"/>
      <w:bookmarkStart w:id="225" w:name="_Toc184313284"/>
      <w:bookmarkEnd w:id="225"/>
      <w:bookmarkStart w:id="226" w:name="_Toc184313278"/>
      <w:bookmarkEnd w:id="226"/>
      <w:bookmarkStart w:id="227" w:name="_Toc184312122"/>
      <w:bookmarkEnd w:id="227"/>
      <w:bookmarkStart w:id="228" w:name="_Toc184308093"/>
      <w:bookmarkEnd w:id="228"/>
      <w:bookmarkStart w:id="229" w:name="_Toc184308078"/>
      <w:bookmarkEnd w:id="229"/>
      <w:bookmarkStart w:id="230" w:name="_Toc184312133"/>
      <w:bookmarkEnd w:id="230"/>
      <w:bookmarkStart w:id="231" w:name="_Toc184314474"/>
      <w:bookmarkEnd w:id="231"/>
      <w:bookmarkStart w:id="232" w:name="_Toc184308076"/>
      <w:bookmarkEnd w:id="232"/>
      <w:bookmarkStart w:id="233" w:name="_Toc184314444"/>
      <w:bookmarkEnd w:id="233"/>
      <w:bookmarkStart w:id="234" w:name="_Toc184312072"/>
      <w:bookmarkEnd w:id="234"/>
      <w:bookmarkStart w:id="235" w:name="_Toc184308041"/>
      <w:bookmarkEnd w:id="235"/>
      <w:bookmarkStart w:id="236" w:name="_Toc184310341"/>
      <w:bookmarkEnd w:id="236"/>
      <w:bookmarkStart w:id="237" w:name="_Toc184312113"/>
      <w:bookmarkEnd w:id="237"/>
      <w:bookmarkStart w:id="238" w:name="_Toc184314440"/>
      <w:bookmarkEnd w:id="238"/>
      <w:bookmarkStart w:id="239" w:name="_Toc184308097"/>
      <w:bookmarkEnd w:id="239"/>
      <w:bookmarkStart w:id="240" w:name="_Toc184310319"/>
      <w:bookmarkEnd w:id="240"/>
      <w:bookmarkStart w:id="241" w:name="_Toc184314455"/>
      <w:bookmarkEnd w:id="241"/>
      <w:bookmarkStart w:id="242" w:name="_Toc184310306"/>
      <w:bookmarkEnd w:id="242"/>
      <w:bookmarkStart w:id="243" w:name="_Toc184312131"/>
      <w:bookmarkEnd w:id="243"/>
      <w:bookmarkStart w:id="244" w:name="_Toc184312083"/>
      <w:bookmarkEnd w:id="244"/>
      <w:bookmarkStart w:id="245" w:name="_Toc184308081"/>
      <w:bookmarkEnd w:id="245"/>
      <w:bookmarkStart w:id="246" w:name="_Toc184312121"/>
      <w:bookmarkEnd w:id="246"/>
      <w:bookmarkStart w:id="247" w:name="_Toc184313275"/>
      <w:bookmarkEnd w:id="247"/>
      <w:bookmarkStart w:id="248" w:name="_Toc184312079"/>
      <w:bookmarkEnd w:id="248"/>
      <w:bookmarkStart w:id="249" w:name="_Toc184310310"/>
      <w:bookmarkEnd w:id="249"/>
      <w:bookmarkStart w:id="250" w:name="_Toc184312124"/>
      <w:bookmarkEnd w:id="250"/>
      <w:bookmarkStart w:id="251" w:name="_Toc184308107"/>
      <w:bookmarkEnd w:id="251"/>
      <w:bookmarkStart w:id="252" w:name="_Toc184312130"/>
      <w:bookmarkEnd w:id="252"/>
      <w:bookmarkStart w:id="253" w:name="_Toc184308073"/>
      <w:bookmarkEnd w:id="253"/>
      <w:bookmarkStart w:id="254" w:name="_Toc184314462"/>
      <w:bookmarkEnd w:id="254"/>
      <w:bookmarkStart w:id="255" w:name="_Toc184313280"/>
      <w:bookmarkEnd w:id="255"/>
      <w:bookmarkStart w:id="256" w:name="_Toc184313267"/>
      <w:bookmarkEnd w:id="256"/>
      <w:bookmarkStart w:id="257" w:name="_Toc184312120"/>
      <w:bookmarkEnd w:id="257"/>
      <w:bookmarkStart w:id="258" w:name="_Toc184312118"/>
      <w:bookmarkEnd w:id="258"/>
      <w:bookmarkStart w:id="259" w:name="_Toc184310308"/>
      <w:bookmarkEnd w:id="259"/>
      <w:bookmarkStart w:id="260" w:name="_Toc184310309"/>
      <w:bookmarkEnd w:id="260"/>
      <w:bookmarkStart w:id="261" w:name="_Toc184308047"/>
      <w:bookmarkEnd w:id="261"/>
      <w:bookmarkStart w:id="262" w:name="_Toc184312111"/>
      <w:bookmarkEnd w:id="262"/>
      <w:bookmarkStart w:id="263" w:name="_Toc184312100"/>
      <w:bookmarkEnd w:id="263"/>
      <w:bookmarkStart w:id="264" w:name="_Toc184310311"/>
      <w:bookmarkEnd w:id="264"/>
      <w:bookmarkStart w:id="265" w:name="_Toc184312107"/>
      <w:bookmarkEnd w:id="265"/>
      <w:bookmarkStart w:id="266" w:name="_Toc184310334"/>
      <w:bookmarkEnd w:id="266"/>
      <w:bookmarkStart w:id="267" w:name="_Toc184313247"/>
      <w:bookmarkEnd w:id="267"/>
      <w:bookmarkStart w:id="268" w:name="_Toc184312068"/>
      <w:bookmarkEnd w:id="268"/>
      <w:bookmarkStart w:id="269" w:name="_Toc184310277"/>
      <w:bookmarkEnd w:id="269"/>
      <w:bookmarkStart w:id="270" w:name="_Toc184312112"/>
      <w:bookmarkEnd w:id="270"/>
      <w:bookmarkStart w:id="271" w:name="_Toc184312092"/>
      <w:bookmarkEnd w:id="271"/>
      <w:bookmarkStart w:id="272" w:name="_Toc184312093"/>
      <w:bookmarkEnd w:id="272"/>
      <w:bookmarkStart w:id="273" w:name="_Toc184310333"/>
      <w:bookmarkEnd w:id="273"/>
      <w:bookmarkStart w:id="274" w:name="_Toc184312116"/>
      <w:bookmarkEnd w:id="274"/>
      <w:bookmarkStart w:id="275" w:name="_Toc184310299"/>
      <w:bookmarkEnd w:id="275"/>
      <w:bookmarkStart w:id="276" w:name="_Toc184308054"/>
      <w:bookmarkEnd w:id="276"/>
      <w:bookmarkStart w:id="277" w:name="_Toc184310313"/>
      <w:bookmarkEnd w:id="277"/>
      <w:bookmarkStart w:id="278" w:name="_Toc184310304"/>
      <w:bookmarkEnd w:id="278"/>
      <w:bookmarkStart w:id="279" w:name="_Toc184308104"/>
      <w:bookmarkEnd w:id="279"/>
      <w:bookmarkStart w:id="280" w:name="_Toc184313297"/>
      <w:bookmarkEnd w:id="280"/>
      <w:bookmarkStart w:id="281" w:name="_Toc184312119"/>
      <w:bookmarkEnd w:id="281"/>
      <w:bookmarkStart w:id="282" w:name="_Toc184310316"/>
      <w:bookmarkEnd w:id="282"/>
      <w:bookmarkStart w:id="283" w:name="_Toc184313256"/>
      <w:bookmarkEnd w:id="283"/>
      <w:bookmarkStart w:id="284" w:name="_Toc184314475"/>
      <w:bookmarkEnd w:id="284"/>
      <w:bookmarkStart w:id="285" w:name="_Toc184314436"/>
      <w:bookmarkEnd w:id="285"/>
      <w:bookmarkStart w:id="286" w:name="_Toc184308072"/>
      <w:bookmarkEnd w:id="286"/>
      <w:bookmarkStart w:id="287" w:name="_Toc184308046"/>
      <w:bookmarkEnd w:id="287"/>
      <w:bookmarkStart w:id="288" w:name="_Toc184314469"/>
      <w:bookmarkEnd w:id="288"/>
      <w:bookmarkStart w:id="289" w:name="_Toc184314412"/>
      <w:bookmarkEnd w:id="289"/>
      <w:bookmarkStart w:id="290" w:name="_Toc184310303"/>
      <w:bookmarkEnd w:id="290"/>
      <w:bookmarkStart w:id="291" w:name="_Toc184313239"/>
      <w:bookmarkEnd w:id="291"/>
      <w:bookmarkStart w:id="292" w:name="_Toc184313306"/>
      <w:bookmarkEnd w:id="292"/>
      <w:bookmarkStart w:id="293" w:name="_Toc184314457"/>
      <w:bookmarkEnd w:id="293"/>
      <w:bookmarkStart w:id="294" w:name="_Toc184310287"/>
      <w:bookmarkEnd w:id="294"/>
      <w:bookmarkStart w:id="295" w:name="_Toc184312078"/>
      <w:bookmarkEnd w:id="295"/>
      <w:bookmarkStart w:id="296" w:name="_Toc184308086"/>
      <w:bookmarkEnd w:id="296"/>
      <w:bookmarkStart w:id="297" w:name="_Toc184313269"/>
      <w:bookmarkEnd w:id="297"/>
      <w:bookmarkStart w:id="298" w:name="_Toc184310280"/>
      <w:bookmarkEnd w:id="298"/>
      <w:bookmarkStart w:id="299" w:name="_Toc184313299"/>
      <w:bookmarkEnd w:id="299"/>
      <w:bookmarkStart w:id="300" w:name="_Toc184314437"/>
      <w:bookmarkEnd w:id="300"/>
      <w:bookmarkStart w:id="301" w:name="_Toc184312110"/>
      <w:bookmarkEnd w:id="301"/>
      <w:bookmarkStart w:id="302" w:name="_Toc184314435"/>
      <w:bookmarkEnd w:id="302"/>
      <w:bookmarkStart w:id="303" w:name="_Toc184312089"/>
      <w:bookmarkEnd w:id="303"/>
      <w:bookmarkStart w:id="304" w:name="_Toc184310325"/>
      <w:bookmarkEnd w:id="304"/>
      <w:bookmarkStart w:id="305" w:name="_Toc184310281"/>
      <w:bookmarkEnd w:id="305"/>
      <w:bookmarkStart w:id="306" w:name="_Toc184310318"/>
      <w:bookmarkEnd w:id="306"/>
      <w:bookmarkStart w:id="307" w:name="_Toc184312138"/>
      <w:bookmarkEnd w:id="307"/>
      <w:bookmarkStart w:id="308" w:name="_Toc184308089"/>
      <w:bookmarkEnd w:id="308"/>
      <w:bookmarkStart w:id="309" w:name="_Toc184314450"/>
      <w:bookmarkEnd w:id="309"/>
      <w:bookmarkStart w:id="310" w:name="_Toc184314438"/>
      <w:bookmarkEnd w:id="310"/>
      <w:bookmarkStart w:id="311" w:name="_Toc184310301"/>
      <w:bookmarkEnd w:id="311"/>
      <w:bookmarkStart w:id="312" w:name="_Toc184312081"/>
      <w:bookmarkEnd w:id="312"/>
      <w:bookmarkStart w:id="313" w:name="_Toc184308050"/>
      <w:bookmarkEnd w:id="313"/>
      <w:bookmarkStart w:id="314" w:name="_Toc184312077"/>
      <w:bookmarkEnd w:id="314"/>
      <w:bookmarkStart w:id="315" w:name="_Toc184313298"/>
      <w:bookmarkEnd w:id="315"/>
      <w:bookmarkStart w:id="316" w:name="_Toc184313310"/>
      <w:bookmarkEnd w:id="316"/>
      <w:bookmarkStart w:id="317" w:name="_Toc184314465"/>
      <w:bookmarkEnd w:id="317"/>
      <w:bookmarkStart w:id="318" w:name="_Toc184314454"/>
      <w:bookmarkEnd w:id="318"/>
      <w:bookmarkStart w:id="319" w:name="_Toc184308060"/>
      <w:bookmarkEnd w:id="319"/>
      <w:bookmarkStart w:id="320" w:name="_Toc184312102"/>
      <w:bookmarkEnd w:id="320"/>
      <w:bookmarkStart w:id="321" w:name="_Toc184310315"/>
      <w:bookmarkEnd w:id="321"/>
      <w:bookmarkStart w:id="322" w:name="_Toc184308075"/>
      <w:bookmarkEnd w:id="322"/>
      <w:bookmarkStart w:id="323" w:name="_Toc184312101"/>
      <w:bookmarkEnd w:id="323"/>
      <w:bookmarkStart w:id="324" w:name="_Toc184308084"/>
      <w:bookmarkEnd w:id="324"/>
      <w:bookmarkStart w:id="325" w:name="_Toc184312091"/>
      <w:bookmarkEnd w:id="325"/>
      <w:bookmarkStart w:id="326" w:name="_Toc184308055"/>
      <w:bookmarkEnd w:id="326"/>
      <w:bookmarkStart w:id="327" w:name="_Toc184310314"/>
      <w:bookmarkEnd w:id="327"/>
      <w:bookmarkStart w:id="328" w:name="_Toc184310272"/>
      <w:bookmarkEnd w:id="328"/>
      <w:bookmarkStart w:id="329" w:name="_Toc184312067"/>
      <w:bookmarkEnd w:id="329"/>
      <w:bookmarkStart w:id="330" w:name="_Toc184313308"/>
      <w:bookmarkEnd w:id="330"/>
      <w:bookmarkStart w:id="331" w:name="_Toc184308098"/>
      <w:bookmarkEnd w:id="331"/>
      <w:bookmarkStart w:id="332" w:name="_Toc184312074"/>
      <w:bookmarkEnd w:id="332"/>
      <w:bookmarkStart w:id="333" w:name="_Toc184312073"/>
      <w:bookmarkEnd w:id="333"/>
      <w:bookmarkStart w:id="334" w:name="_Toc184310338"/>
      <w:bookmarkEnd w:id="334"/>
      <w:bookmarkStart w:id="335" w:name="_Toc184308062"/>
      <w:bookmarkEnd w:id="335"/>
      <w:bookmarkStart w:id="336" w:name="_Toc184310332"/>
      <w:bookmarkEnd w:id="336"/>
      <w:bookmarkStart w:id="337" w:name="_Toc184314471"/>
      <w:bookmarkEnd w:id="337"/>
      <w:bookmarkStart w:id="338" w:name="_Toc184308059"/>
      <w:bookmarkEnd w:id="338"/>
      <w:bookmarkStart w:id="339" w:name="_Toc184313292"/>
      <w:bookmarkEnd w:id="339"/>
      <w:bookmarkStart w:id="340" w:name="_Toc184313261"/>
      <w:bookmarkEnd w:id="340"/>
      <w:bookmarkStart w:id="341" w:name="_Toc184312097"/>
      <w:bookmarkEnd w:id="341"/>
      <w:bookmarkStart w:id="342" w:name="_Toc184314416"/>
      <w:bookmarkEnd w:id="342"/>
      <w:bookmarkStart w:id="343" w:name="_Toc184312137"/>
      <w:bookmarkEnd w:id="343"/>
      <w:bookmarkStart w:id="344" w:name="_Toc184308074"/>
      <w:bookmarkEnd w:id="344"/>
      <w:bookmarkStart w:id="345" w:name="_Toc184310302"/>
      <w:bookmarkEnd w:id="345"/>
      <w:bookmarkStart w:id="346" w:name="_Toc184308058"/>
      <w:bookmarkEnd w:id="346"/>
      <w:bookmarkStart w:id="347" w:name="_Toc184312129"/>
      <w:bookmarkEnd w:id="347"/>
      <w:bookmarkStart w:id="348" w:name="_Toc184310278"/>
      <w:bookmarkEnd w:id="348"/>
      <w:bookmarkStart w:id="349" w:name="_Toc184310328"/>
      <w:bookmarkEnd w:id="349"/>
      <w:bookmarkStart w:id="350" w:name="_Toc184308052"/>
      <w:bookmarkEnd w:id="350"/>
      <w:bookmarkStart w:id="351" w:name="_Toc184313240"/>
      <w:bookmarkEnd w:id="351"/>
      <w:bookmarkStart w:id="352" w:name="_Toc184312132"/>
      <w:bookmarkEnd w:id="352"/>
      <w:bookmarkStart w:id="353" w:name="_Toc184313266"/>
      <w:bookmarkEnd w:id="353"/>
      <w:bookmarkStart w:id="354" w:name="_Toc184314420"/>
      <w:bookmarkEnd w:id="354"/>
      <w:bookmarkStart w:id="355" w:name="_Toc184308095"/>
      <w:bookmarkEnd w:id="355"/>
      <w:bookmarkStart w:id="356" w:name="_Toc184312070"/>
      <w:bookmarkEnd w:id="356"/>
      <w:bookmarkStart w:id="357" w:name="_Toc184313288"/>
      <w:bookmarkEnd w:id="357"/>
      <w:bookmarkStart w:id="358" w:name="_Toc184313301"/>
      <w:bookmarkEnd w:id="358"/>
      <w:bookmarkStart w:id="359" w:name="_Toc184308049"/>
      <w:bookmarkEnd w:id="359"/>
      <w:bookmarkStart w:id="360" w:name="_Toc184313309"/>
      <w:bookmarkEnd w:id="360"/>
      <w:bookmarkStart w:id="361" w:name="_Toc184310329"/>
      <w:bookmarkEnd w:id="361"/>
      <w:bookmarkStart w:id="362" w:name="_Toc184310273"/>
      <w:bookmarkEnd w:id="362"/>
      <w:bookmarkStart w:id="363" w:name="_Toc184308064"/>
      <w:bookmarkEnd w:id="363"/>
      <w:bookmarkStart w:id="364" w:name="_Toc184310305"/>
      <w:bookmarkEnd w:id="364"/>
      <w:bookmarkStart w:id="365" w:name="_Toc184312103"/>
      <w:bookmarkEnd w:id="365"/>
      <w:bookmarkStart w:id="366" w:name="_Toc184308051"/>
      <w:bookmarkEnd w:id="366"/>
      <w:bookmarkStart w:id="367" w:name="_Toc184310297"/>
      <w:bookmarkEnd w:id="367"/>
      <w:bookmarkStart w:id="368" w:name="_Toc184313251"/>
      <w:bookmarkEnd w:id="368"/>
      <w:bookmarkStart w:id="369" w:name="_Toc184310296"/>
      <w:bookmarkEnd w:id="369"/>
      <w:bookmarkStart w:id="370" w:name="_Toc184308087"/>
      <w:bookmarkEnd w:id="370"/>
      <w:bookmarkStart w:id="371" w:name="_Toc184308066"/>
      <w:bookmarkEnd w:id="371"/>
      <w:bookmarkStart w:id="372" w:name="_Toc184308039"/>
      <w:bookmarkEnd w:id="372"/>
      <w:bookmarkStart w:id="373" w:name="_Toc184312095"/>
      <w:bookmarkEnd w:id="373"/>
      <w:bookmarkStart w:id="374" w:name="_Toc184312125"/>
      <w:bookmarkEnd w:id="374"/>
      <w:bookmarkStart w:id="375" w:name="_Toc184312128"/>
      <w:bookmarkEnd w:id="375"/>
      <w:bookmarkStart w:id="376" w:name="_Toc184313303"/>
      <w:bookmarkEnd w:id="376"/>
      <w:bookmarkStart w:id="377" w:name="_Toc184308094"/>
      <w:bookmarkEnd w:id="377"/>
      <w:bookmarkStart w:id="378" w:name="_Toc184308061"/>
      <w:bookmarkEnd w:id="378"/>
      <w:bookmarkStart w:id="379" w:name="_Toc184313245"/>
      <w:bookmarkEnd w:id="379"/>
      <w:bookmarkStart w:id="380" w:name="_Toc184313255"/>
      <w:bookmarkEnd w:id="380"/>
      <w:bookmarkStart w:id="381" w:name="_Toc184313305"/>
      <w:bookmarkEnd w:id="381"/>
      <w:bookmarkStart w:id="382" w:name="_Toc184308045"/>
      <w:bookmarkEnd w:id="382"/>
      <w:bookmarkStart w:id="383" w:name="_Toc184310324"/>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7"/>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3"/>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2025年三固运行中心填埋场渗滤液管道检测及清洗服务采购项目（第二次重新询价）</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15"/>
        <w:ind w:firstLine="214"/>
        <w:jc w:val="center"/>
        <w:rPr>
          <w:rFonts w:hint="eastAsia"/>
          <w:b/>
          <w:bCs/>
        </w:rPr>
      </w:pPr>
      <w:r>
        <w:rPr>
          <w:rFonts w:hint="eastAsia"/>
          <w:b/>
          <w:bCs/>
        </w:rPr>
        <w:t>目录</w:t>
      </w:r>
    </w:p>
    <w:p w14:paraId="0AB018B5">
      <w:pPr>
        <w:pStyle w:val="7"/>
        <w:spacing w:line="360" w:lineRule="auto"/>
        <w:ind w:firstLine="720" w:firstLineChars="300"/>
      </w:pPr>
      <w:r>
        <w:rPr>
          <w:rFonts w:hint="eastAsia"/>
        </w:rPr>
        <w:t>第一章 合同书  …………………………………………………………（页码）</w:t>
      </w:r>
    </w:p>
    <w:p w14:paraId="61B39EFC">
      <w:pPr>
        <w:pStyle w:val="7"/>
        <w:spacing w:line="360" w:lineRule="auto"/>
        <w:ind w:firstLine="720" w:firstLineChars="300"/>
        <w:rPr>
          <w:rFonts w:hint="eastAsia"/>
        </w:rPr>
      </w:pPr>
      <w:r>
        <w:rPr>
          <w:rFonts w:hint="eastAsia"/>
        </w:rPr>
        <w:t>第二章 合同一般条款……………………………………………………（页码）</w:t>
      </w:r>
    </w:p>
    <w:p w14:paraId="2C41F9F7">
      <w:pPr>
        <w:pStyle w:val="7"/>
        <w:spacing w:line="360" w:lineRule="auto"/>
        <w:ind w:firstLine="720" w:firstLineChars="300"/>
        <w:rPr>
          <w:rFonts w:hint="eastAsia"/>
        </w:rPr>
      </w:pPr>
      <w:r>
        <w:rPr>
          <w:rFonts w:hint="eastAsia"/>
        </w:rPr>
        <w:t>第三章 安全协议…………………………………………………………（页码）</w:t>
      </w:r>
    </w:p>
    <w:p w14:paraId="6B79F37E">
      <w:pPr>
        <w:pStyle w:val="7"/>
        <w:spacing w:line="360" w:lineRule="auto"/>
        <w:ind w:firstLine="720" w:firstLineChars="3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4"/>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询价</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2025年三固运行中心填埋场渗滤液管道检测及清洗服务采购项目（第二次重新询价）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1C9F21D">
      <w:pPr>
        <w:spacing w:line="360" w:lineRule="auto"/>
        <w:ind w:firstLine="480" w:firstLineChars="200"/>
        <w:rPr>
          <w:rFonts w:hint="eastAsia" w:ascii="宋体" w:hAnsi="宋体" w:eastAsiaTheme="minorEastAsia"/>
          <w:sz w:val="24"/>
          <w:lang w:eastAsia="zh-CN"/>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w:t>
      </w:r>
      <w:r>
        <w:rPr>
          <w:rFonts w:hint="eastAsia" w:ascii="宋体" w:hAnsi="宋体"/>
          <w:sz w:val="24"/>
          <w:lang w:eastAsia="zh-CN"/>
        </w:rPr>
        <w:t>。</w:t>
      </w:r>
    </w:p>
    <w:p w14:paraId="27B7307E">
      <w:pPr>
        <w:spacing w:line="360" w:lineRule="auto"/>
        <w:ind w:firstLine="480" w:firstLineChars="200"/>
        <w:rPr>
          <w:rFonts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7799B1CD">
      <w:pPr>
        <w:spacing w:line="360" w:lineRule="auto"/>
        <w:ind w:firstLine="480" w:firstLineChars="200"/>
        <w:rPr>
          <w:rFonts w:hint="eastAsia" w:ascii="宋体" w:hAnsi="宋体"/>
          <w:sz w:val="24"/>
          <w:u w:val="single"/>
          <w:lang w:val="en-US" w:eastAsia="zh-CN"/>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p>
    <w:p w14:paraId="7FD8E22B">
      <w:pPr>
        <w:spacing w:line="360" w:lineRule="auto"/>
        <w:rPr>
          <w:rFonts w:hint="eastAsia" w:ascii="宋体" w:hAnsi="宋体" w:cs="宋体"/>
          <w:sz w:val="24"/>
        </w:rPr>
      </w:pP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6"/>
        <w:tblW w:w="9166" w:type="dxa"/>
        <w:tblInd w:w="96" w:type="dxa"/>
        <w:tblLayout w:type="fixed"/>
        <w:tblCellMar>
          <w:top w:w="0" w:type="dxa"/>
          <w:left w:w="108" w:type="dxa"/>
          <w:bottom w:w="0" w:type="dxa"/>
          <w:right w:w="108" w:type="dxa"/>
        </w:tblCellMar>
      </w:tblPr>
      <w:tblGrid>
        <w:gridCol w:w="578"/>
        <w:gridCol w:w="1517"/>
        <w:gridCol w:w="3824"/>
        <w:gridCol w:w="593"/>
        <w:gridCol w:w="607"/>
        <w:gridCol w:w="932"/>
        <w:gridCol w:w="1115"/>
      </w:tblGrid>
      <w:tr w14:paraId="32A292B1">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05BD1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40C9462">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服务项目</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17DB12B2">
            <w:pPr>
              <w:widowControl/>
              <w:jc w:val="center"/>
              <w:textAlignment w:val="center"/>
              <w:rPr>
                <w:rFonts w:hint="eastAsia" w:ascii="宋体" w:hAnsi="宋体" w:cs="宋体"/>
                <w:sz w:val="20"/>
                <w:szCs w:val="20"/>
              </w:rPr>
            </w:pPr>
            <w:r>
              <w:rPr>
                <w:rFonts w:hint="eastAsia" w:ascii="宋体" w:hAnsi="宋体" w:cs="宋体"/>
                <w:sz w:val="20"/>
                <w:szCs w:val="20"/>
                <w:lang w:val="en-US" w:eastAsia="zh-CN"/>
              </w:rPr>
              <w:t>服务</w:t>
            </w:r>
            <w:r>
              <w:rPr>
                <w:rFonts w:hint="eastAsia" w:ascii="宋体" w:hAnsi="宋体" w:cs="宋体"/>
                <w:kern w:val="0"/>
                <w:sz w:val="20"/>
                <w:szCs w:val="20"/>
                <w:lang w:bidi="ar"/>
              </w:rPr>
              <w:t>内容</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77A872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单位</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17E54265">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数量</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EC1467C">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单价</w:t>
            </w:r>
            <w:r>
              <w:rPr>
                <w:rFonts w:hint="eastAsia" w:ascii="宋体" w:hAnsi="宋体" w:cs="宋体"/>
                <w:color w:val="4874CB" w:themeColor="accent1"/>
                <w:kern w:val="0"/>
                <w:sz w:val="20"/>
                <w:szCs w:val="20"/>
                <w:lang w:bidi="ar"/>
                <w14:textFill>
                  <w14:solidFill>
                    <w14:schemeClr w14:val="accent1"/>
                  </w14:solidFill>
                </w14:textFill>
              </w:rPr>
              <w:t>（元</w:t>
            </w:r>
            <w:r>
              <w:rPr>
                <w:rFonts w:hint="eastAsia" w:ascii="宋体" w:hAnsi="宋体" w:cs="宋体"/>
                <w:color w:val="4874CB" w:themeColor="accent1"/>
                <w:kern w:val="0"/>
                <w:sz w:val="20"/>
                <w:szCs w:val="20"/>
                <w:lang w:val="en-US" w:eastAsia="zh-CN" w:bidi="ar"/>
                <w14:textFill>
                  <w14:solidFill>
                    <w14:schemeClr w14:val="accent1"/>
                  </w14:solidFill>
                </w14:textFill>
              </w:rPr>
              <w:t>/次</w:t>
            </w:r>
            <w:r>
              <w:rPr>
                <w:rFonts w:hint="eastAsia" w:ascii="宋体" w:hAnsi="宋体" w:cs="宋体"/>
                <w:kern w:val="0"/>
                <w:sz w:val="20"/>
                <w:szCs w:val="20"/>
                <w:lang w:bidi="ar"/>
              </w:rPr>
              <w:t>）</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23F624C">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r>
      <w:tr w14:paraId="2A1BCBB2">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6199C9FA">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8997AED">
            <w:pPr>
              <w:widowControl/>
              <w:jc w:val="center"/>
              <w:textAlignment w:val="center"/>
              <w:rPr>
                <w:rFonts w:hint="eastAsia" w:ascii="宋体" w:hAnsi="宋体" w:cs="宋体"/>
                <w:sz w:val="20"/>
                <w:szCs w:val="20"/>
              </w:rPr>
            </w:pPr>
            <w:r>
              <w:rPr>
                <w:rFonts w:hint="eastAsia" w:ascii="宋体" w:hAnsi="宋体" w:cs="宋体"/>
                <w:sz w:val="20"/>
                <w:szCs w:val="20"/>
              </w:rPr>
              <w:t>渗滤液管道检测</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77AFCE1A">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1.每半年对填埋场渗滤液管道进行检测（南北两侧各一根，每根渗滤液管道检测为1次）</w:t>
            </w:r>
          </w:p>
          <w:p w14:paraId="64E6408D">
            <w:pPr>
              <w:widowControl/>
              <w:jc w:val="center"/>
              <w:textAlignment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2.填埋场渗滤液管道规格：外径DN160、内径DN140，斜面高度10米，长度15米，底部平面长度 130米</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365D84FE">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次</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40CFD505">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36094DD">
            <w:pPr>
              <w:widowControl/>
              <w:jc w:val="center"/>
              <w:textAlignment w:val="center"/>
              <w:rPr>
                <w:rFonts w:ascii="宋体" w:hAnsi="宋体" w:cs="宋体"/>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DE64B36">
            <w:pPr>
              <w:widowControl/>
              <w:jc w:val="center"/>
              <w:textAlignment w:val="center"/>
              <w:rPr>
                <w:rFonts w:hint="eastAsia" w:ascii="宋体" w:hAnsi="宋体" w:cs="宋体"/>
                <w:kern w:val="0"/>
                <w:sz w:val="20"/>
                <w:szCs w:val="20"/>
                <w:lang w:bidi="ar"/>
              </w:rPr>
            </w:pPr>
          </w:p>
        </w:tc>
      </w:tr>
      <w:tr w14:paraId="1FD593DA">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4A8DB09E">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5C7D284">
            <w:pPr>
              <w:widowControl/>
              <w:jc w:val="center"/>
              <w:textAlignment w:val="center"/>
              <w:rPr>
                <w:rFonts w:hint="eastAsia" w:ascii="宋体" w:hAnsi="宋体" w:cs="宋体"/>
                <w:sz w:val="20"/>
                <w:szCs w:val="20"/>
              </w:rPr>
            </w:pPr>
            <w:r>
              <w:rPr>
                <w:rFonts w:hint="eastAsia" w:ascii="宋体" w:hAnsi="宋体" w:cs="宋体"/>
                <w:sz w:val="20"/>
                <w:szCs w:val="20"/>
              </w:rPr>
              <w:t>渗滤液管道冲洗</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5063CBCA">
            <w:pPr>
              <w:widowControl/>
              <w:jc w:val="center"/>
              <w:textAlignment w:val="center"/>
              <w:rPr>
                <w:rFonts w:hint="default" w:ascii="宋体" w:hAnsi="宋体" w:cs="宋体"/>
                <w:sz w:val="20"/>
                <w:szCs w:val="20"/>
                <w:lang w:val="en-US"/>
              </w:rPr>
            </w:pPr>
            <w:r>
              <w:rPr>
                <w:rFonts w:hint="eastAsia" w:ascii="宋体" w:hAnsi="宋体" w:cs="宋体"/>
                <w:sz w:val="20"/>
                <w:szCs w:val="20"/>
                <w:lang w:val="en-US" w:eastAsia="zh-CN"/>
              </w:rPr>
              <w:t>视检测后管道堵塞情况对填埋场渗滤液管道进行冲洗（每根渗滤液管道冲洗为1次）</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156F2F81">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次</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09DB9C8F">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7F95EA99">
            <w:pPr>
              <w:widowControl/>
              <w:jc w:val="center"/>
              <w:textAlignment w:val="center"/>
              <w:rPr>
                <w:rFonts w:ascii="宋体" w:hAnsi="宋体" w:cs="宋体"/>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6E96666">
            <w:pPr>
              <w:widowControl/>
              <w:jc w:val="center"/>
              <w:textAlignment w:val="center"/>
              <w:rPr>
                <w:rFonts w:hint="eastAsia" w:ascii="宋体" w:hAnsi="宋体" w:cs="宋体"/>
                <w:kern w:val="0"/>
                <w:sz w:val="20"/>
                <w:szCs w:val="20"/>
                <w:lang w:bidi="ar"/>
              </w:rPr>
            </w:pPr>
          </w:p>
        </w:tc>
      </w:tr>
    </w:tbl>
    <w:p w14:paraId="5E963DDB">
      <w:pPr>
        <w:spacing w:line="360" w:lineRule="auto"/>
        <w:ind w:firstLine="482" w:firstLineChars="200"/>
        <w:outlineLvl w:val="0"/>
        <w:rPr>
          <w:rFonts w:ascii="宋体" w:hAnsi="宋体"/>
          <w:b/>
          <w:sz w:val="24"/>
        </w:rPr>
      </w:pPr>
      <w:bookmarkStart w:id="384" w:name="_Toc1814"/>
      <w:bookmarkStart w:id="385" w:name="_Toc10340"/>
      <w:bookmarkStart w:id="386" w:name="_Toc22618"/>
      <w:bookmarkStart w:id="387" w:name="_Toc4760"/>
      <w:bookmarkStart w:id="388" w:name="_Toc3625"/>
      <w:bookmarkStart w:id="389" w:name="_Toc11108"/>
      <w:bookmarkStart w:id="390" w:name="_Toc8772"/>
      <w:bookmarkStart w:id="391" w:name="_Toc31421"/>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Cs/>
          <w:sz w:val="24"/>
          <w:u w:val="single"/>
        </w:rPr>
        <w:t>浙江省杭州市钱塘区临江街道红十五路10388-123号，杭州临江环境能源有限公司厂区内</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3.服务交付（实施）的方式：</w:t>
      </w:r>
      <w:r>
        <w:rPr>
          <w:rFonts w:hint="eastAsia" w:ascii="宋体" w:hAnsi="宋体"/>
          <w:b/>
          <w:iCs/>
          <w:sz w:val="24"/>
          <w:u w:val="single"/>
          <w:lang w:val="en-US" w:eastAsia="zh-CN"/>
        </w:rPr>
        <w:t>供应商</w:t>
      </w:r>
      <w:r>
        <w:rPr>
          <w:rFonts w:hint="eastAsia" w:ascii="宋体" w:hAnsi="宋体"/>
          <w:b/>
          <w:iCs/>
          <w:sz w:val="24"/>
          <w:u w:val="single"/>
          <w:lang w:val="en-US"/>
        </w:rPr>
        <w:t>负责在接到采购人电话或书面通知后在10个工作日内完成检测</w:t>
      </w:r>
      <w:r>
        <w:rPr>
          <w:rFonts w:hint="eastAsia" w:ascii="宋体" w:hAnsi="宋体"/>
          <w:b/>
          <w:iCs/>
          <w:sz w:val="24"/>
          <w:u w:val="single"/>
          <w:lang w:val="en-US" w:eastAsia="zh-CN"/>
        </w:rPr>
        <w:t>和</w:t>
      </w:r>
      <w:r>
        <w:rPr>
          <w:rFonts w:hint="eastAsia" w:ascii="宋体" w:hAnsi="宋体"/>
          <w:b/>
          <w:iCs/>
          <w:sz w:val="24"/>
          <w:u w:val="single"/>
          <w:lang w:val="en-US"/>
        </w:rPr>
        <w:t>清洗服务，并出具检测报告</w:t>
      </w:r>
      <w:r>
        <w:rPr>
          <w:rFonts w:hint="eastAsia" w:ascii="宋体" w:hAnsi="宋体"/>
          <w:b/>
          <w:iCs/>
          <w:sz w:val="24"/>
          <w:u w:val="single"/>
          <w:lang w:val="en-US" w:eastAsia="zh-CN"/>
        </w:rPr>
        <w:t>。</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2293980B">
      <w:pPr>
        <w:pStyle w:val="6"/>
        <w:ind w:firstLine="480" w:firstLineChars="200"/>
        <w:rPr>
          <w:lang w:val="en-US"/>
        </w:rPr>
      </w:pPr>
      <w:r>
        <w:rPr>
          <w:rFonts w:hint="eastAsia"/>
          <w:lang w:val="en-US" w:eastAsia="zh-CN"/>
        </w:rPr>
        <w:t>2</w:t>
      </w:r>
      <w:r>
        <w:rPr>
          <w:lang w:val="en-US"/>
        </w:rPr>
        <w:t>.</w:t>
      </w:r>
      <w:r>
        <w:rPr>
          <w:rFonts w:hint="eastAsia"/>
          <w:lang w:val="en-US" w:eastAsia="zh-CN"/>
        </w:rPr>
        <w:t>乙方</w:t>
      </w:r>
      <w:r>
        <w:rPr>
          <w:rFonts w:hint="eastAsia"/>
          <w:lang w:val="en-US"/>
        </w:rPr>
        <w:t>须依据《危险废物填埋污染控制标准》GB  18598-2019要求提供检测和清洗服务，并出具检测报告。</w:t>
      </w:r>
    </w:p>
    <w:p w14:paraId="5A833791">
      <w:pPr>
        <w:pStyle w:val="6"/>
        <w:ind w:firstLine="480" w:firstLineChars="200"/>
        <w:rPr>
          <w:rFonts w:hint="eastAsia" w:hAnsi="Arial" w:cs="Arial"/>
          <w:snapToGrid w:val="0"/>
          <w:szCs w:val="21"/>
          <w:lang w:val="en-US"/>
        </w:rPr>
      </w:pPr>
      <w:r>
        <w:rPr>
          <w:rFonts w:hint="eastAsia"/>
          <w:lang w:val="en-US" w:eastAsia="zh-CN"/>
        </w:rPr>
        <w:t>3</w:t>
      </w:r>
      <w:r>
        <w:rPr>
          <w:rFonts w:hint="eastAsia"/>
          <w:lang w:val="en-US"/>
        </w:rPr>
        <w:t>.</w:t>
      </w:r>
      <w:r>
        <w:rPr>
          <w:rFonts w:hint="eastAsia" w:cs="Arial"/>
          <w:snapToGrid w:val="0"/>
          <w:szCs w:val="21"/>
          <w:lang w:val="en-US" w:eastAsia="zh-CN"/>
        </w:rPr>
        <w:t>乙方</w:t>
      </w:r>
      <w:r>
        <w:rPr>
          <w:rFonts w:hint="eastAsia" w:hAnsi="Arial" w:cs="Arial"/>
          <w:snapToGrid w:val="0"/>
          <w:szCs w:val="21"/>
          <w:lang w:val="en-US"/>
        </w:rPr>
        <w:t>根据检测清洗要求和计划，负责在接到</w:t>
      </w:r>
      <w:r>
        <w:rPr>
          <w:rFonts w:hint="eastAsia" w:cs="Arial"/>
          <w:snapToGrid w:val="0"/>
          <w:szCs w:val="21"/>
          <w:lang w:val="en-US" w:eastAsia="zh-CN"/>
        </w:rPr>
        <w:t>甲方</w:t>
      </w:r>
      <w:r>
        <w:rPr>
          <w:rFonts w:hint="eastAsia" w:hAnsi="Arial" w:cs="Arial"/>
          <w:snapToGrid w:val="0"/>
          <w:szCs w:val="21"/>
          <w:lang w:val="en-US"/>
        </w:rPr>
        <w:t>电话或书面通知后在10个工作日内完成检测清洗服务，并出具检测报告。若出现意外情况导致检测清洗服务无法一次性完成，应再次到指定现场完成</w:t>
      </w:r>
      <w:r>
        <w:rPr>
          <w:rFonts w:hint="eastAsia" w:cs="Arial"/>
          <w:snapToGrid w:val="0"/>
          <w:szCs w:val="21"/>
          <w:lang w:val="en-US" w:eastAsia="zh-CN"/>
        </w:rPr>
        <w:t>清洗</w:t>
      </w:r>
      <w:r>
        <w:rPr>
          <w:rFonts w:hint="eastAsia" w:hAnsi="Arial" w:cs="Arial"/>
          <w:snapToGrid w:val="0"/>
          <w:szCs w:val="21"/>
          <w:lang w:val="en-US"/>
        </w:rPr>
        <w:t>服务。</w:t>
      </w:r>
    </w:p>
    <w:p w14:paraId="19FDDF09">
      <w:pPr>
        <w:pStyle w:val="6"/>
        <w:ind w:firstLine="480" w:firstLineChars="200"/>
        <w:rPr>
          <w:rFonts w:hint="eastAsia" w:hAnsi="Arial" w:cs="Arial"/>
          <w:snapToGrid w:val="0"/>
          <w:szCs w:val="21"/>
          <w:lang w:val="en-US"/>
        </w:rPr>
      </w:pPr>
      <w:r>
        <w:rPr>
          <w:rFonts w:hint="eastAsia" w:hAnsi="Arial" w:cs="Arial"/>
          <w:snapToGrid w:val="0"/>
          <w:szCs w:val="21"/>
          <w:lang w:val="en-US" w:eastAsia="zh-CN"/>
        </w:rPr>
        <w:t>4</w:t>
      </w:r>
      <w:r>
        <w:rPr>
          <w:rFonts w:hint="eastAsia" w:hAnsi="Arial" w:cs="Arial"/>
          <w:snapToGrid w:val="0"/>
          <w:szCs w:val="21"/>
          <w:lang w:val="en-US"/>
        </w:rPr>
        <w:t>.</w:t>
      </w:r>
      <w:r>
        <w:rPr>
          <w:rFonts w:hint="eastAsia" w:hAnsi="Arial" w:cs="Arial"/>
          <w:snapToGrid w:val="0"/>
          <w:szCs w:val="21"/>
          <w:lang w:val="en-US" w:eastAsia="zh-CN"/>
        </w:rPr>
        <w:t>乙方</w:t>
      </w:r>
      <w:r>
        <w:rPr>
          <w:rFonts w:hint="eastAsia" w:hAnsi="Arial" w:cs="Arial"/>
          <w:snapToGrid w:val="0"/>
          <w:szCs w:val="21"/>
          <w:lang w:val="en-US"/>
        </w:rPr>
        <w:t>负责技术服务过程中的机械及人员的安全，加强对技术服务人员的安全教育及防范措施，</w:t>
      </w:r>
      <w:r>
        <w:rPr>
          <w:rFonts w:hint="eastAsia" w:hAnsi="Arial" w:cs="Arial"/>
          <w:snapToGrid w:val="0"/>
          <w:szCs w:val="21"/>
          <w:lang w:val="en-US" w:eastAsia="zh-CN"/>
        </w:rPr>
        <w:t>乙方</w:t>
      </w:r>
      <w:r>
        <w:rPr>
          <w:rFonts w:hint="eastAsia" w:hAnsi="Arial" w:cs="Arial"/>
          <w:snapToGrid w:val="0"/>
          <w:szCs w:val="21"/>
          <w:lang w:val="en-US"/>
        </w:rPr>
        <w:t>技术服务过程中发生的任何质量、安全责任事故及工伤事故等，责任均由</w:t>
      </w:r>
      <w:r>
        <w:rPr>
          <w:rFonts w:hint="eastAsia" w:hAnsi="Arial" w:cs="Arial"/>
          <w:snapToGrid w:val="0"/>
          <w:szCs w:val="21"/>
          <w:lang w:val="en-US" w:eastAsia="zh-CN"/>
        </w:rPr>
        <w:t>乙方</w:t>
      </w:r>
      <w:r>
        <w:rPr>
          <w:rFonts w:hint="eastAsia" w:hAnsi="Arial" w:cs="Arial"/>
          <w:snapToGrid w:val="0"/>
          <w:szCs w:val="21"/>
          <w:lang w:val="en-US"/>
        </w:rPr>
        <w:t>承担。</w:t>
      </w:r>
    </w:p>
    <w:p w14:paraId="2011F6BC">
      <w:pPr>
        <w:pStyle w:val="6"/>
        <w:ind w:firstLine="480" w:firstLineChars="200"/>
        <w:rPr>
          <w:rFonts w:hint="eastAsia" w:hAnsi="Arial" w:cs="Arial"/>
          <w:snapToGrid w:val="0"/>
          <w:szCs w:val="21"/>
          <w:lang w:val="en-US" w:eastAsia="zh-CN"/>
        </w:rPr>
      </w:pPr>
      <w:r>
        <w:rPr>
          <w:rFonts w:hint="eastAsia" w:hAnsi="Arial" w:cs="Arial"/>
          <w:snapToGrid w:val="0"/>
          <w:szCs w:val="21"/>
          <w:lang w:val="en-US" w:eastAsia="zh-CN"/>
        </w:rPr>
        <w:t>5.服务期间如因乙方原因发生设备、人身等安全事故由乙方承担赔偿责任。乙方应对其员工的安全负责。</w:t>
      </w:r>
    </w:p>
    <w:p w14:paraId="11CEBCF6">
      <w:pPr>
        <w:pStyle w:val="6"/>
        <w:ind w:firstLine="480" w:firstLineChars="200"/>
        <w:rPr>
          <w:rFonts w:hint="eastAsia" w:hAnsi="Arial" w:cs="Arial"/>
          <w:snapToGrid w:val="0"/>
          <w:color w:val="auto"/>
          <w:szCs w:val="21"/>
          <w:lang w:val="en-US" w:eastAsia="zh-CN"/>
        </w:rPr>
      </w:pPr>
      <w:r>
        <w:rPr>
          <w:rFonts w:hint="eastAsia" w:hAnsi="Arial" w:cs="Arial"/>
          <w:snapToGrid w:val="0"/>
          <w:color w:val="auto"/>
          <w:szCs w:val="21"/>
          <w:lang w:val="en-US" w:eastAsia="zh-CN"/>
        </w:rPr>
        <w:t>6.服务所需设备、工具等由乙方负责，人员食宿自理，所需费用由乙方自行承担。</w:t>
      </w:r>
    </w:p>
    <w:p w14:paraId="298A9570">
      <w:pPr>
        <w:pStyle w:val="6"/>
        <w:ind w:firstLine="480" w:firstLineChars="200"/>
        <w:rPr>
          <w:rFonts w:hint="eastAsia" w:hAnsi="Arial" w:cs="Arial"/>
          <w:snapToGrid w:val="0"/>
          <w:color w:val="auto"/>
          <w:szCs w:val="21"/>
          <w:lang w:val="en-US"/>
        </w:rPr>
      </w:pPr>
      <w:bookmarkStart w:id="392" w:name="_Toc1125"/>
      <w:bookmarkStart w:id="393" w:name="_Toc6596"/>
      <w:bookmarkStart w:id="394" w:name="_Toc14563"/>
      <w:r>
        <w:rPr>
          <w:rFonts w:hint="eastAsia" w:hAnsi="Arial" w:cs="Arial"/>
          <w:snapToGrid w:val="0"/>
          <w:color w:val="auto"/>
          <w:szCs w:val="21"/>
          <w:lang w:val="en-US" w:eastAsia="zh-CN"/>
        </w:rPr>
        <w:t>7</w:t>
      </w:r>
      <w:r>
        <w:rPr>
          <w:rFonts w:hint="eastAsia" w:hAnsi="Arial" w:cs="Arial"/>
          <w:snapToGrid w:val="0"/>
          <w:color w:val="auto"/>
          <w:szCs w:val="21"/>
          <w:lang w:val="en-US"/>
        </w:rPr>
        <w:t>.若</w:t>
      </w:r>
      <w:r>
        <w:rPr>
          <w:rFonts w:hint="eastAsia" w:hAnsi="Arial" w:cs="Arial"/>
          <w:snapToGrid w:val="0"/>
          <w:color w:val="auto"/>
          <w:szCs w:val="21"/>
          <w:lang w:val="en-US" w:eastAsia="zh-CN"/>
        </w:rPr>
        <w:t>乙方</w:t>
      </w:r>
      <w:r>
        <w:rPr>
          <w:rFonts w:hint="eastAsia" w:hAnsi="Arial" w:cs="Arial"/>
          <w:snapToGrid w:val="0"/>
          <w:color w:val="auto"/>
          <w:szCs w:val="21"/>
          <w:lang w:val="en-US"/>
        </w:rPr>
        <w:t>清洗管内异物需清洗至管壁无大块结晶、管内无明显异物。</w:t>
      </w:r>
    </w:p>
    <w:p w14:paraId="72E5C505">
      <w:pPr>
        <w:pStyle w:val="6"/>
        <w:ind w:firstLine="480" w:firstLineChars="200"/>
        <w:rPr>
          <w:rFonts w:hint="eastAsia" w:hAnsi="Arial" w:cs="Arial"/>
          <w:snapToGrid w:val="0"/>
          <w:color w:val="auto"/>
          <w:szCs w:val="21"/>
          <w:lang w:val="en-US"/>
        </w:rPr>
      </w:pPr>
      <w:r>
        <w:rPr>
          <w:rFonts w:hint="eastAsia" w:hAnsi="Arial" w:cs="Arial"/>
          <w:snapToGrid w:val="0"/>
          <w:color w:val="auto"/>
          <w:szCs w:val="21"/>
          <w:lang w:val="en-US" w:eastAsia="zh-CN"/>
        </w:rPr>
        <w:t>8</w:t>
      </w:r>
      <w:r>
        <w:rPr>
          <w:rFonts w:hint="eastAsia" w:hAnsi="Arial" w:cs="Arial"/>
          <w:snapToGrid w:val="0"/>
          <w:color w:val="auto"/>
          <w:szCs w:val="21"/>
          <w:lang w:val="en-US"/>
        </w:rPr>
        <w:t>.</w:t>
      </w:r>
      <w:r>
        <w:rPr>
          <w:rFonts w:hint="eastAsia" w:hAnsi="Arial" w:cs="Arial"/>
          <w:snapToGrid w:val="0"/>
          <w:color w:val="auto"/>
          <w:szCs w:val="21"/>
          <w:lang w:val="en-US" w:eastAsia="zh-CN"/>
        </w:rPr>
        <w:t>乙方</w:t>
      </w:r>
      <w:r>
        <w:rPr>
          <w:rFonts w:hint="eastAsia" w:hAnsi="Arial" w:cs="Arial"/>
          <w:snapToGrid w:val="0"/>
          <w:color w:val="auto"/>
          <w:szCs w:val="21"/>
          <w:lang w:val="en-US"/>
        </w:rPr>
        <w:t>须根据检测报告出具检测报告，能清晰可见管内情况。</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BB03B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.检验和验收标准、程序等具体内容以及前述验收书的效力如下：有合法资质第三方机构验收单或者验收报告效力</w:t>
      </w:r>
      <w:r>
        <w:rPr>
          <w:rFonts w:hint="eastAsia" w:ascii="宋体" w:hAnsi="宋体"/>
          <w:sz w:val="24"/>
          <w:lang w:val="en-US" w:eastAsia="zh-CN"/>
        </w:rPr>
        <w:t>＞</w:t>
      </w:r>
      <w:r>
        <w:rPr>
          <w:rFonts w:hint="eastAsia" w:ascii="宋体" w:hAnsi="宋体"/>
          <w:sz w:val="24"/>
        </w:rPr>
        <w:t>甲方的验收单或者验收报告</w:t>
      </w:r>
      <w:r>
        <w:rPr>
          <w:rFonts w:hint="eastAsia" w:ascii="宋体" w:hAnsi="宋体"/>
          <w:sz w:val="24"/>
          <w:lang w:val="en-US" w:eastAsia="zh-CN"/>
        </w:rPr>
        <w:t>＞</w:t>
      </w:r>
      <w:r>
        <w:rPr>
          <w:rFonts w:hint="eastAsia" w:ascii="宋体" w:hAnsi="宋体"/>
          <w:sz w:val="24"/>
        </w:rPr>
        <w:t xml:space="preserve">合格证或出厂检测报告。 </w:t>
      </w:r>
    </w:p>
    <w:p w14:paraId="5EC595C6">
      <w:pPr>
        <w:tabs>
          <w:tab w:val="left" w:pos="360"/>
          <w:tab w:val="left" w:pos="540"/>
          <w:tab w:val="left" w:pos="1080"/>
        </w:tabs>
        <w:spacing w:line="360" w:lineRule="auto"/>
        <w:ind w:firstLine="480" w:firstLineChars="200"/>
        <w:rPr>
          <w:rFonts w:hint="eastAsia" w:ascii="宋体" w:hAnsi="宋体"/>
          <w:sz w:val="24"/>
          <w:lang w:val="en-US" w:eastAsia="zh-CN"/>
        </w:rPr>
      </w:pPr>
      <w:r>
        <w:rPr>
          <w:rFonts w:hint="eastAsia" w:ascii="宋体" w:hAnsi="宋体"/>
          <w:sz w:val="24"/>
          <w:lang w:val="en-US" w:eastAsia="zh-CN"/>
        </w:rPr>
        <w:t>4.每次出具检测报告。</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6F1A1F59">
      <w:pPr>
        <w:pStyle w:val="25"/>
        <w:spacing w:before="0" w:beforeAutospacing="0" w:after="0" w:afterAutospacing="0" w:line="360" w:lineRule="auto"/>
        <w:ind w:firstLine="480"/>
        <w:rPr>
          <w:rFonts w:hint="default" w:eastAsiaTheme="minorEastAsia"/>
          <w:b/>
          <w:lang w:val="en-US" w:eastAsia="zh-CN"/>
        </w:rPr>
      </w:pPr>
      <w:r>
        <w:rPr>
          <w:rFonts w:hint="eastAsia"/>
          <w:b/>
          <w:lang w:val="en-US" w:eastAsia="zh-CN"/>
        </w:rPr>
        <w:t>1.</w:t>
      </w:r>
      <w:r>
        <w:rPr>
          <w:rFonts w:hint="eastAsia"/>
          <w:b/>
          <w:u w:val="single"/>
          <w:lang w:val="en-US" w:eastAsia="zh-CN"/>
        </w:rPr>
        <w:t>出具检测报告。</w:t>
      </w:r>
    </w:p>
    <w:p w14:paraId="3F5C3D2D">
      <w:pPr>
        <w:pStyle w:val="25"/>
        <w:spacing w:before="0" w:beforeAutospacing="0" w:after="0" w:afterAutospacing="0" w:line="360" w:lineRule="auto"/>
        <w:ind w:firstLine="480"/>
        <w:rPr>
          <w:b/>
        </w:rPr>
      </w:pPr>
      <w:r>
        <w:rPr>
          <w:rFonts w:hint="eastAsia"/>
          <w:b/>
        </w:rPr>
        <w:t>七、履约保证金</w:t>
      </w:r>
    </w:p>
    <w:p w14:paraId="078341DC">
      <w:pPr>
        <w:pStyle w:val="25"/>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5</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cs="宋体"/>
          <w:kern w:val="0"/>
          <w:sz w:val="24"/>
          <w:highlight w:val="none"/>
          <w:u w:val="single"/>
          <w:lang w:val="en-US" w:eastAsia="zh-CN"/>
        </w:rPr>
        <w:t>合同期限结束后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5"/>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5"/>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5"/>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5"/>
        <w:spacing w:before="0" w:beforeAutospacing="0" w:after="0" w:afterAutospacing="0" w:line="360" w:lineRule="auto"/>
        <w:ind w:firstLine="480"/>
        <w:rPr>
          <w:b/>
          <w:bCs/>
        </w:rPr>
      </w:pPr>
      <w:r>
        <w:rPr>
          <w:rFonts w:hint="eastAsia"/>
          <w:b/>
          <w:bCs/>
        </w:rPr>
        <w:t>九、资金支付</w:t>
      </w:r>
    </w:p>
    <w:p w14:paraId="179BB8F5">
      <w:pPr>
        <w:pStyle w:val="25"/>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5"/>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single"/>
          <w:lang w:val="en-US" w:eastAsia="zh-CN"/>
        </w:rPr>
        <w:t>/。</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0E40C525">
      <w:pPr>
        <w:pStyle w:val="25"/>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u w:val="single"/>
        </w:rPr>
        <w:t xml:space="preserve"> </w:t>
      </w:r>
      <w:r>
        <w:rPr>
          <w:rFonts w:hint="eastAsia"/>
        </w:rPr>
        <w:t>%；</w:t>
      </w:r>
    </w:p>
    <w:p w14:paraId="1F5640EB">
      <w:pPr>
        <w:pStyle w:val="25"/>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5"/>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color w:val="auto"/>
          <w:u w:val="single"/>
          <w:lang w:val="en-US" w:eastAsia="zh-CN"/>
        </w:rPr>
        <w:t>（4）</w:t>
      </w:r>
      <w:r>
        <w:rPr>
          <w:rFonts w:hint="eastAsia"/>
          <w:u w:val="single"/>
          <w:lang w:val="en-US" w:eastAsia="zh-CN"/>
        </w:rPr>
        <w:t xml:space="preserve"> </w:t>
      </w:r>
      <w:r>
        <w:rPr>
          <w:rFonts w:hint="eastAsia"/>
          <w:u w:val="single"/>
        </w:rPr>
        <w:t xml:space="preserve"> </w:t>
      </w:r>
      <w:r>
        <w:rPr>
          <w:rFonts w:hint="eastAsia"/>
        </w:rPr>
        <w:t>条款规定：</w:t>
      </w:r>
    </w:p>
    <w:p w14:paraId="4F62E1F4">
      <w:pPr>
        <w:pStyle w:val="25"/>
        <w:spacing w:before="0" w:beforeAutospacing="0" w:after="0" w:afterAutospacing="0" w:line="360" w:lineRule="auto"/>
        <w:ind w:firstLine="480" w:firstLineChars="200"/>
        <w:rPr>
          <w:rFonts w:hint="eastAsia" w:eastAsia="宋体"/>
          <w:lang w:eastAsia="zh-CN"/>
        </w:rPr>
      </w:pPr>
      <w:r>
        <w:rPr>
          <w:rFonts w:hint="eastAsia"/>
        </w:rPr>
        <w:t>（4）</w:t>
      </w:r>
      <w:r>
        <w:rPr>
          <w:rFonts w:hint="eastAsia"/>
          <w:u w:val="single"/>
        </w:rPr>
        <w:t>其他付款方式：</w:t>
      </w:r>
      <w:r>
        <w:rPr>
          <w:rFonts w:hint="eastAsia"/>
          <w:highlight w:val="none"/>
          <w:u w:val="single"/>
        </w:rPr>
        <w:t>按次支付费用，验收合格后，乙方提供准确清单以及合格的增值税发票后，甲方于30日内完成该次费用支付</w:t>
      </w:r>
      <w:r>
        <w:rPr>
          <w:rFonts w:hint="eastAsia"/>
          <w:highlight w:val="none"/>
          <w:u w:val="single"/>
          <w:lang w:eastAsia="zh-CN"/>
        </w:rPr>
        <w:t>。</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4EB44399">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43D4A1C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A64A6FD">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7DDD34B2">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17C919E">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09B977CE">
      <w:pPr>
        <w:spacing w:line="360" w:lineRule="auto"/>
        <w:ind w:firstLine="480" w:firstLineChars="200"/>
        <w:rPr>
          <w:rFonts w:ascii="宋体" w:hAnsi="宋体" w:cs="宋体"/>
          <w:sz w:val="24"/>
        </w:rPr>
      </w:pPr>
      <w:bookmarkStart w:id="395" w:name="_Toc30329"/>
      <w:bookmarkStart w:id="396" w:name="_Toc18683"/>
      <w:bookmarkStart w:id="397" w:name="_Toc26807"/>
      <w:bookmarkStart w:id="398" w:name="_Toc32454"/>
      <w:bookmarkStart w:id="399" w:name="_Toc9497"/>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7311D6">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C0F72A">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97C66DC">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4317D935">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0D7B49D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395"/>
    <w:bookmarkEnd w:id="396"/>
    <w:bookmarkEnd w:id="397"/>
    <w:bookmarkEnd w:id="398"/>
    <w:bookmarkEnd w:id="399"/>
    <w:p w14:paraId="494DDCE1">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6129DCFF">
      <w:pPr>
        <w:pStyle w:val="15"/>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4"/>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D1EDD33">
      <w:pPr>
        <w:pStyle w:val="24"/>
        <w:ind w:left="0" w:leftChars="0" w:firstLine="0" w:firstLineChars="0"/>
        <w:jc w:val="center"/>
        <w:rPr>
          <w:rFonts w:hint="eastAsia" w:ascii="宋体" w:hAnsi="宋体"/>
          <w:b/>
          <w:szCs w:val="24"/>
        </w:rPr>
      </w:pPr>
    </w:p>
    <w:p w14:paraId="42451AEE">
      <w:pPr>
        <w:pStyle w:val="24"/>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0" w:name="_Toc19680"/>
      <w:bookmarkStart w:id="401" w:name="_Toc25079"/>
      <w:bookmarkStart w:id="402" w:name="_Toc14021"/>
      <w:bookmarkStart w:id="403" w:name="_Toc5228"/>
      <w:bookmarkStart w:id="404" w:name="_Toc31297"/>
      <w:r>
        <w:rPr>
          <w:rFonts w:hint="eastAsia" w:ascii="宋体" w:hAnsi="宋体"/>
          <w:b/>
          <w:sz w:val="24"/>
        </w:rPr>
        <w:t>一、</w:t>
      </w:r>
      <w:r>
        <w:rPr>
          <w:rFonts w:ascii="宋体" w:hAnsi="宋体"/>
          <w:b/>
          <w:sz w:val="24"/>
        </w:rPr>
        <w:t>定义</w:t>
      </w:r>
      <w:bookmarkEnd w:id="400"/>
      <w:bookmarkEnd w:id="401"/>
      <w:bookmarkEnd w:id="402"/>
      <w:bookmarkEnd w:id="403"/>
      <w:bookmarkEnd w:id="404"/>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5" w:name="_Toc31402"/>
      <w:bookmarkStart w:id="406" w:name="_Toc23289"/>
      <w:bookmarkStart w:id="407" w:name="_Toc3769"/>
      <w:bookmarkStart w:id="408" w:name="_Toc16752"/>
      <w:bookmarkStart w:id="409" w:name="_Toc19539"/>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5"/>
      <w:bookmarkEnd w:id="406"/>
      <w:bookmarkEnd w:id="407"/>
      <w:bookmarkEnd w:id="408"/>
      <w:bookmarkEnd w:id="409"/>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0" w:name="_Toc13673"/>
      <w:bookmarkStart w:id="411" w:name="_Toc4133"/>
      <w:bookmarkStart w:id="412" w:name="_Toc9161"/>
      <w:bookmarkStart w:id="413" w:name="_Toc12412"/>
      <w:bookmarkStart w:id="414" w:name="_Toc27945"/>
      <w:r>
        <w:rPr>
          <w:rFonts w:hint="eastAsia" w:ascii="宋体" w:hAnsi="宋体"/>
          <w:b/>
          <w:sz w:val="24"/>
        </w:rPr>
        <w:t>三、</w:t>
      </w:r>
      <w:r>
        <w:rPr>
          <w:rFonts w:ascii="宋体" w:hAnsi="宋体"/>
          <w:b/>
          <w:sz w:val="24"/>
        </w:rPr>
        <w:t xml:space="preserve"> 知识产权</w:t>
      </w:r>
      <w:bookmarkEnd w:id="410"/>
      <w:bookmarkEnd w:id="411"/>
      <w:bookmarkEnd w:id="412"/>
      <w:bookmarkEnd w:id="413"/>
      <w:bookmarkEnd w:id="414"/>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5" w:name="_Toc32670"/>
      <w:bookmarkStart w:id="416" w:name="_Toc15447"/>
      <w:bookmarkStart w:id="417" w:name="_Toc31233"/>
      <w:bookmarkStart w:id="418" w:name="_Toc22011"/>
      <w:bookmarkStart w:id="419" w:name="_Toc26555"/>
      <w:r>
        <w:rPr>
          <w:rFonts w:hint="eastAsia" w:ascii="宋体" w:hAnsi="宋体"/>
          <w:b/>
          <w:sz w:val="24"/>
        </w:rPr>
        <w:t>五、</w:t>
      </w:r>
      <w:r>
        <w:rPr>
          <w:rFonts w:ascii="宋体" w:hAnsi="宋体"/>
          <w:b/>
          <w:sz w:val="24"/>
        </w:rPr>
        <w:t>结算方式和付款条件</w:t>
      </w:r>
      <w:bookmarkEnd w:id="415"/>
      <w:bookmarkEnd w:id="416"/>
      <w:bookmarkEnd w:id="417"/>
      <w:bookmarkEnd w:id="418"/>
      <w:bookmarkEnd w:id="419"/>
    </w:p>
    <w:p w14:paraId="58708174">
      <w:pPr>
        <w:spacing w:line="360" w:lineRule="auto"/>
        <w:ind w:firstLine="480" w:firstLineChars="200"/>
        <w:outlineLvl w:val="0"/>
        <w:rPr>
          <w:rFonts w:hint="eastAsia" w:ascii="宋体" w:hAnsi="宋体"/>
          <w:bCs/>
          <w:sz w:val="24"/>
        </w:rPr>
      </w:pPr>
      <w:bookmarkStart w:id="420" w:name="_Toc18990"/>
      <w:bookmarkStart w:id="421" w:name="_Toc13154"/>
      <w:bookmarkStart w:id="422" w:name="_Toc13467"/>
      <w:bookmarkStart w:id="423" w:name="_Toc30507"/>
      <w:bookmarkStart w:id="424" w:name="_Toc16163"/>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0"/>
      <w:bookmarkEnd w:id="421"/>
      <w:bookmarkEnd w:id="422"/>
      <w:bookmarkEnd w:id="423"/>
      <w:bookmarkEnd w:id="424"/>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5" w:name="_Toc19069"/>
      <w:r>
        <w:rPr>
          <w:rFonts w:hint="eastAsia" w:ascii="宋体" w:hAnsi="宋体"/>
          <w:b/>
          <w:sz w:val="24"/>
        </w:rPr>
        <w:t>七、质量保证</w:t>
      </w:r>
      <w:bookmarkEnd w:id="425"/>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6"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6"/>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7" w:name="_Toc10611"/>
      <w:r>
        <w:rPr>
          <w:rFonts w:hint="eastAsia" w:ascii="宋体" w:hAnsi="宋体"/>
          <w:b/>
          <w:sz w:val="24"/>
        </w:rPr>
        <w:t>九、合同变更</w:t>
      </w:r>
      <w:bookmarkEnd w:id="427"/>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8" w:name="_Toc10663"/>
      <w:bookmarkStart w:id="429" w:name="_Toc23368"/>
      <w:bookmarkStart w:id="430" w:name="_Toc21830"/>
      <w:bookmarkStart w:id="431" w:name="_Toc42"/>
      <w:bookmarkStart w:id="432" w:name="_Toc26689"/>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8"/>
      <w:bookmarkEnd w:id="429"/>
      <w:bookmarkEnd w:id="430"/>
      <w:bookmarkEnd w:id="431"/>
      <w:bookmarkEnd w:id="432"/>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3" w:name="_Toc14371"/>
      <w:bookmarkStart w:id="434" w:name="_Toc26633"/>
      <w:bookmarkStart w:id="435" w:name="_Toc25571"/>
      <w:bookmarkStart w:id="436" w:name="_Toc4720"/>
      <w:bookmarkStart w:id="437" w:name="_Toc32494"/>
      <w:r>
        <w:rPr>
          <w:rFonts w:hint="eastAsia" w:ascii="宋体" w:hAnsi="宋体"/>
          <w:b/>
          <w:sz w:val="24"/>
        </w:rPr>
        <w:t>十一、</w:t>
      </w:r>
      <w:r>
        <w:rPr>
          <w:rFonts w:ascii="宋体" w:hAnsi="宋体"/>
          <w:b/>
          <w:sz w:val="24"/>
        </w:rPr>
        <w:t>不可抗力</w:t>
      </w:r>
      <w:bookmarkEnd w:id="433"/>
      <w:bookmarkEnd w:id="434"/>
      <w:bookmarkEnd w:id="435"/>
      <w:bookmarkEnd w:id="436"/>
      <w:bookmarkEnd w:id="437"/>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8" w:name="_Toc14115"/>
      <w:bookmarkStart w:id="439" w:name="_Toc24465"/>
      <w:bookmarkStart w:id="440" w:name="_Toc25783"/>
      <w:bookmarkStart w:id="441" w:name="_Toc3638"/>
      <w:bookmarkStart w:id="442" w:name="_Toc23854"/>
      <w:r>
        <w:rPr>
          <w:rFonts w:hint="eastAsia" w:ascii="宋体" w:hAnsi="宋体"/>
          <w:b/>
          <w:sz w:val="24"/>
        </w:rPr>
        <w:t>十二、</w:t>
      </w:r>
      <w:r>
        <w:rPr>
          <w:rFonts w:ascii="宋体" w:hAnsi="宋体"/>
          <w:b/>
          <w:sz w:val="24"/>
        </w:rPr>
        <w:t>税费</w:t>
      </w:r>
      <w:bookmarkEnd w:id="438"/>
      <w:bookmarkEnd w:id="439"/>
      <w:bookmarkEnd w:id="440"/>
      <w:bookmarkEnd w:id="441"/>
      <w:bookmarkEnd w:id="442"/>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3" w:name="_Toc14814"/>
      <w:bookmarkStart w:id="444" w:name="_Toc26883"/>
      <w:bookmarkStart w:id="445" w:name="_Toc30105"/>
      <w:bookmarkStart w:id="446" w:name="_Toc25525"/>
      <w:bookmarkStart w:id="447" w:name="_Toc7315"/>
      <w:r>
        <w:rPr>
          <w:rFonts w:hint="eastAsia" w:ascii="宋体" w:hAnsi="宋体"/>
          <w:b/>
          <w:sz w:val="24"/>
        </w:rPr>
        <w:t>十三、</w:t>
      </w:r>
      <w:r>
        <w:rPr>
          <w:rFonts w:ascii="宋体" w:hAnsi="宋体"/>
          <w:b/>
          <w:sz w:val="24"/>
        </w:rPr>
        <w:t>乙方破产</w:t>
      </w:r>
      <w:bookmarkEnd w:id="443"/>
      <w:bookmarkEnd w:id="444"/>
      <w:bookmarkEnd w:id="445"/>
      <w:bookmarkEnd w:id="446"/>
      <w:bookmarkEnd w:id="447"/>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8" w:name="_Toc2016"/>
      <w:bookmarkStart w:id="449" w:name="_Toc23323"/>
      <w:bookmarkStart w:id="450" w:name="_Toc1123"/>
      <w:r>
        <w:rPr>
          <w:rFonts w:hint="eastAsia" w:ascii="宋体" w:hAnsi="宋体"/>
          <w:b/>
          <w:sz w:val="24"/>
        </w:rPr>
        <w:t>十四、</w:t>
      </w:r>
      <w:r>
        <w:rPr>
          <w:rFonts w:ascii="宋体" w:hAnsi="宋体"/>
          <w:b/>
          <w:sz w:val="24"/>
        </w:rPr>
        <w:t>合同中止、终止</w:t>
      </w:r>
      <w:bookmarkEnd w:id="448"/>
      <w:bookmarkEnd w:id="449"/>
      <w:bookmarkEnd w:id="450"/>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1" w:name="_Toc1969"/>
      <w:bookmarkStart w:id="452" w:name="_Toc17363"/>
      <w:bookmarkStart w:id="453"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1"/>
      <w:bookmarkEnd w:id="452"/>
      <w:bookmarkEnd w:id="453"/>
      <w:bookmarkStart w:id="454" w:name="_Toc9808"/>
      <w:bookmarkStart w:id="455" w:name="_Toc31892"/>
      <w:bookmarkStart w:id="456" w:name="_Toc12666"/>
      <w:bookmarkStart w:id="457" w:name="_Toc2308"/>
      <w:bookmarkStart w:id="458" w:name="_Toc25198"/>
      <w:r>
        <w:rPr>
          <w:rFonts w:hint="eastAsia" w:ascii="宋体" w:hAnsi="宋体"/>
          <w:b/>
          <w:sz w:val="24"/>
        </w:rPr>
        <w:t>、</w:t>
      </w:r>
      <w:r>
        <w:rPr>
          <w:rFonts w:ascii="宋体" w:hAnsi="宋体"/>
          <w:b/>
          <w:sz w:val="24"/>
        </w:rPr>
        <w:t>通知和送达</w:t>
      </w:r>
      <w:bookmarkEnd w:id="454"/>
      <w:bookmarkEnd w:id="455"/>
      <w:bookmarkEnd w:id="456"/>
      <w:bookmarkEnd w:id="457"/>
      <w:bookmarkEnd w:id="458"/>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9" w:name="_Toc28906"/>
      <w:bookmarkStart w:id="460" w:name="_Toc5063"/>
      <w:bookmarkStart w:id="461" w:name="_Toc12254"/>
      <w:bookmarkStart w:id="462" w:name="_Toc20808"/>
      <w:bookmarkStart w:id="463" w:name="_Toc27644"/>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9"/>
      <w:bookmarkEnd w:id="460"/>
      <w:bookmarkEnd w:id="461"/>
      <w:bookmarkEnd w:id="462"/>
      <w:bookmarkEnd w:id="463"/>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CBC1857">
      <w:pPr>
        <w:pStyle w:val="24"/>
        <w:spacing w:line="560" w:lineRule="exact"/>
        <w:ind w:left="0" w:leftChars="0" w:firstLine="0" w:firstLineChars="0"/>
        <w:jc w:val="both"/>
        <w:rPr>
          <w:rFonts w:hint="eastAsia" w:ascii="宋体" w:hAnsi="宋体"/>
          <w:b/>
          <w:szCs w:val="24"/>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仿宋"/>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640993DF">
      <w:pPr>
        <w:rPr>
          <w:rFonts w:hint="eastAsia"/>
        </w:rPr>
      </w:pPr>
    </w:p>
    <w:p w14:paraId="7CE9725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2025年三固运行中心填埋场渗滤液管道检测及清洗服务采购项目（第二次重新询价）</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2025年三固运行中心填埋场渗滤液管道检测及清洗服务采购项目（第二次重新询价）</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7"/>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3"/>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15"/>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4"/>
      </w:pPr>
    </w:p>
    <w:p w14:paraId="5F4E7760">
      <w:pPr>
        <w:pStyle w:val="15"/>
        <w:rPr>
          <w:color w:val="auto"/>
        </w:rPr>
      </w:pPr>
    </w:p>
    <w:p w14:paraId="3B048014">
      <w:pPr>
        <w:pStyle w:val="13"/>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23C812D4">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2025年三固运行中心填埋场渗滤液管道检测及清洗服务采购项目（第二次重新询价）</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202507057</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4874CB" w:themeColor="accent1"/>
          <w:sz w:val="24"/>
          <w:lang w:val="en-US" w:eastAsia="zh-CN"/>
          <w14:textFill>
            <w14:solidFill>
              <w14:schemeClr w14:val="accent1"/>
            </w14:solidFill>
          </w14:textFill>
        </w:rPr>
      </w:pP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3</w:t>
      </w: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业绩证明材料</w:t>
      </w:r>
      <w:r>
        <w:rPr>
          <w:rFonts w:hint="eastAsia" w:cs="仿宋" w:asciiTheme="minorEastAsia" w:hAnsiTheme="minorEastAsia"/>
          <w:color w:val="4874CB" w:themeColor="accent1"/>
          <w:sz w:val="24"/>
          <w14:textFill>
            <w14:solidFill>
              <w14:schemeClr w14:val="accent1"/>
            </w14:solidFill>
          </w14:textFill>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15"/>
        <w:rPr>
          <w:color w:val="auto"/>
        </w:rPr>
      </w:pPr>
    </w:p>
    <w:p w14:paraId="5BD807E8">
      <w:pPr>
        <w:rPr>
          <w:color w:val="auto"/>
        </w:rPr>
      </w:pPr>
    </w:p>
    <w:p w14:paraId="631F1A0B">
      <w:pPr>
        <w:pStyle w:val="6"/>
      </w:pPr>
    </w:p>
    <w:p w14:paraId="568FE681">
      <w:pPr>
        <w:pStyle w:val="6"/>
        <w:rPr>
          <w:color w:val="auto"/>
        </w:rPr>
      </w:pPr>
    </w:p>
    <w:p w14:paraId="37160157">
      <w:pPr>
        <w:pStyle w:val="15"/>
        <w:rPr>
          <w:color w:val="auto"/>
        </w:rPr>
      </w:pPr>
    </w:p>
    <w:p w14:paraId="18510655">
      <w:pPr>
        <w:rPr>
          <w:color w:val="auto"/>
        </w:rPr>
      </w:pPr>
    </w:p>
    <w:p w14:paraId="03CD803D">
      <w:pPr>
        <w:pStyle w:val="6"/>
        <w:rPr>
          <w:color w:val="auto"/>
        </w:rPr>
      </w:pPr>
    </w:p>
    <w:p w14:paraId="7C6A2F1D">
      <w:pPr>
        <w:pStyle w:val="15"/>
        <w:rPr>
          <w:color w:val="auto"/>
        </w:rPr>
      </w:pPr>
    </w:p>
    <w:p w14:paraId="2A1EAFA4">
      <w:pPr>
        <w:rPr>
          <w:color w:val="auto"/>
        </w:rPr>
      </w:pPr>
    </w:p>
    <w:p w14:paraId="2300D32D">
      <w:pPr>
        <w:pStyle w:val="6"/>
        <w:rPr>
          <w:color w:val="auto"/>
        </w:rPr>
      </w:pPr>
    </w:p>
    <w:p w14:paraId="4CBC95AE">
      <w:pPr>
        <w:pStyle w:val="15"/>
        <w:rPr>
          <w:color w:val="auto"/>
        </w:rPr>
      </w:pPr>
    </w:p>
    <w:p w14:paraId="798392CC">
      <w:pPr>
        <w:rPr>
          <w:color w:val="auto"/>
        </w:rPr>
      </w:pPr>
    </w:p>
    <w:p w14:paraId="673A965D">
      <w:pPr>
        <w:pStyle w:val="6"/>
        <w:rPr>
          <w:color w:val="auto"/>
        </w:rPr>
      </w:pPr>
    </w:p>
    <w:p w14:paraId="7AF1798F">
      <w:pPr>
        <w:pStyle w:val="15"/>
        <w:rPr>
          <w:color w:val="auto"/>
        </w:rPr>
      </w:pPr>
    </w:p>
    <w:p w14:paraId="42CD4FD3">
      <w:pPr>
        <w:pStyle w:val="13"/>
        <w:rPr>
          <w:color w:val="auto"/>
        </w:rPr>
      </w:pPr>
    </w:p>
    <w:p w14:paraId="1E6E4C39">
      <w:pPr>
        <w:rPr>
          <w:color w:val="auto"/>
        </w:rPr>
      </w:pPr>
    </w:p>
    <w:p w14:paraId="1AAA3B54">
      <w:pPr>
        <w:pStyle w:val="14"/>
      </w:pPr>
    </w:p>
    <w:p w14:paraId="0EC82F94">
      <w:pPr>
        <w:rPr>
          <w:color w:val="auto"/>
        </w:rPr>
      </w:pPr>
    </w:p>
    <w:p w14:paraId="5BDEE8B8">
      <w:pPr>
        <w:pStyle w:val="6"/>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2025年三固运行中心填埋场渗滤液管道检测及清洗服务采购项目（第二次重新询价）</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202507057</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15"/>
        <w:rPr>
          <w:color w:val="auto"/>
        </w:rPr>
      </w:pPr>
    </w:p>
    <w:p w14:paraId="437E8B68">
      <w:pPr>
        <w:rPr>
          <w:color w:val="auto"/>
        </w:rPr>
      </w:pPr>
    </w:p>
    <w:p w14:paraId="33A065AF">
      <w:pPr>
        <w:pStyle w:val="6"/>
        <w:rPr>
          <w:color w:val="auto"/>
        </w:rPr>
      </w:pPr>
    </w:p>
    <w:p w14:paraId="390524D3">
      <w:pPr>
        <w:pStyle w:val="15"/>
      </w:pPr>
    </w:p>
    <w:p w14:paraId="488F3B7B">
      <w:pPr>
        <w:pStyle w:val="15"/>
        <w:ind w:left="0" w:leftChars="0" w:firstLine="0" w:firstLineChars="0"/>
        <w:rPr>
          <w:color w:val="auto"/>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7"/>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4874CB" w:themeColor="accent1"/>
          <w:kern w:val="0"/>
          <w:sz w:val="32"/>
          <w:szCs w:val="32"/>
          <w:lang w:val="en-US" w:eastAsia="zh-CN"/>
          <w14:textFill>
            <w14:solidFill>
              <w14:schemeClr w14:val="accent1"/>
            </w14:solidFill>
          </w14:textFill>
        </w:rPr>
      </w:pPr>
      <w: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t>三</w:t>
      </w:r>
      <w:r>
        <w:rPr>
          <w:rFonts w:hint="eastAsia" w:cs="仿宋" w:asciiTheme="minorEastAsia" w:hAnsiTheme="minorEastAsia" w:eastAsiaTheme="minorEastAsia"/>
          <w:b/>
          <w:color w:val="4874CB" w:themeColor="accent1"/>
          <w:kern w:val="0"/>
          <w:sz w:val="32"/>
          <w:szCs w:val="32"/>
          <w:lang w:val="en-US" w:eastAsia="zh-CN" w:bidi="ar-SA"/>
          <w14:textFill>
            <w14:solidFill>
              <w14:schemeClr w14:val="accent1"/>
            </w14:solidFill>
          </w14:textFill>
        </w:rPr>
        <w:t>、</w:t>
      </w:r>
      <w:r>
        <w:rPr>
          <w:rFonts w:hint="eastAsia" w:cs="仿宋" w:asciiTheme="minorEastAsia" w:hAnsiTheme="minorEastAsia"/>
          <w:b/>
          <w:color w:val="4874CB" w:themeColor="accent1"/>
          <w:kern w:val="0"/>
          <w:sz w:val="32"/>
          <w:szCs w:val="32"/>
          <w:lang w:val="en-US" w:eastAsia="zh-CN"/>
          <w14:textFill>
            <w14:solidFill>
              <w14:schemeClr w14:val="accent1"/>
            </w14:solidFill>
          </w14:textFill>
        </w:rPr>
        <w:t>业绩证明材料</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6AF933B3">
            <w:pPr>
              <w:pStyle w:val="27"/>
              <w:adjustRightInd w:val="0"/>
              <w:spacing w:line="360" w:lineRule="auto"/>
              <w:rPr>
                <w:rFonts w:cs="仿宋" w:asciiTheme="minorEastAsia" w:hAnsiTheme="minorEastAsia" w:eastAsiaTheme="minorEastAsia"/>
                <w:bCs/>
                <w:color w:val="auto"/>
                <w:sz w:val="24"/>
              </w:rPr>
            </w:pPr>
          </w:p>
        </w:tc>
      </w:tr>
    </w:tbl>
    <w:p w14:paraId="3B9A9912">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1060B0DB">
            <w:pPr>
              <w:pStyle w:val="27"/>
              <w:adjustRightInd w:val="0"/>
              <w:spacing w:line="360" w:lineRule="auto"/>
              <w:rPr>
                <w:rFonts w:cs="仿宋" w:asciiTheme="minorEastAsia" w:hAnsiTheme="minorEastAsia" w:eastAsiaTheme="minorEastAsia"/>
                <w:bCs/>
                <w:color w:val="auto"/>
                <w:sz w:val="24"/>
              </w:rPr>
            </w:pPr>
          </w:p>
        </w:tc>
      </w:tr>
    </w:tbl>
    <w:p w14:paraId="0231121E">
      <w:pPr>
        <w:pStyle w:val="6"/>
        <w:rPr>
          <w:color w:val="auto"/>
        </w:rPr>
      </w:pPr>
    </w:p>
    <w:p w14:paraId="7051BD90">
      <w:pPr>
        <w:pStyle w:val="15"/>
        <w:rPr>
          <w:color w:val="auto"/>
        </w:rPr>
      </w:pPr>
    </w:p>
    <w:p w14:paraId="15ED29BF">
      <w:pPr>
        <w:rPr>
          <w:color w:val="auto"/>
        </w:rPr>
      </w:pPr>
    </w:p>
    <w:p w14:paraId="621A8607">
      <w:pPr>
        <w:rPr>
          <w:color w:val="auto"/>
        </w:rPr>
      </w:pPr>
    </w:p>
    <w:p w14:paraId="2F28BC04">
      <w:pPr>
        <w:rPr>
          <w:color w:val="auto"/>
        </w:rPr>
      </w:pPr>
    </w:p>
    <w:p w14:paraId="332EBE38">
      <w:pPr>
        <w:rPr>
          <w:color w:val="auto"/>
        </w:rPr>
      </w:pPr>
    </w:p>
    <w:p w14:paraId="5E170A6A">
      <w:pPr>
        <w:rPr>
          <w:color w:val="auto"/>
        </w:rPr>
      </w:pPr>
    </w:p>
    <w:p w14:paraId="73BFB571">
      <w:pPr>
        <w:pStyle w:val="6"/>
        <w:rPr>
          <w:color w:val="auto"/>
        </w:rPr>
      </w:pPr>
    </w:p>
    <w:p w14:paraId="3E85806A">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7" w:hRule="atLeast"/>
          <w:jc w:val="center"/>
        </w:trPr>
        <w:tc>
          <w:tcPr>
            <w:tcW w:w="9207" w:type="dxa"/>
          </w:tcPr>
          <w:p w14:paraId="179FBDF4">
            <w:pPr>
              <w:pStyle w:val="15"/>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7"/>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6"/>
        <w:rPr>
          <w:color w:val="auto"/>
        </w:rPr>
      </w:pPr>
    </w:p>
    <w:p w14:paraId="49C902B7">
      <w:pPr>
        <w:pStyle w:val="15"/>
        <w:rPr>
          <w:color w:val="auto"/>
        </w:rPr>
      </w:pPr>
    </w:p>
    <w:p w14:paraId="1BE2D6FF">
      <w:pPr>
        <w:pStyle w:val="6"/>
        <w:rPr>
          <w:color w:val="auto"/>
        </w:rPr>
      </w:pPr>
    </w:p>
    <w:p w14:paraId="151F0F7B">
      <w:pPr>
        <w:pStyle w:val="15"/>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15"/>
        <w:rPr>
          <w:color w:val="auto"/>
        </w:rPr>
      </w:pPr>
    </w:p>
    <w:p w14:paraId="1AF3AAEA">
      <w:pPr>
        <w:rPr>
          <w:color w:val="auto"/>
        </w:rPr>
      </w:pPr>
    </w:p>
    <w:p w14:paraId="3DAA4E90">
      <w:pPr>
        <w:pStyle w:val="6"/>
        <w:rPr>
          <w:color w:val="auto"/>
        </w:rPr>
      </w:pPr>
    </w:p>
    <w:p w14:paraId="150574DA">
      <w:pPr>
        <w:pStyle w:val="15"/>
        <w:rPr>
          <w:color w:val="auto"/>
        </w:rPr>
      </w:pPr>
    </w:p>
    <w:p w14:paraId="0FCCF493">
      <w:pPr>
        <w:rPr>
          <w:color w:val="auto"/>
        </w:rPr>
      </w:pPr>
    </w:p>
    <w:p w14:paraId="51228414">
      <w:pPr>
        <w:pStyle w:val="6"/>
        <w:rPr>
          <w:color w:val="auto"/>
        </w:rPr>
      </w:pPr>
    </w:p>
    <w:p w14:paraId="13BDD14E">
      <w:pPr>
        <w:pStyle w:val="15"/>
        <w:rPr>
          <w:color w:val="auto"/>
        </w:rPr>
      </w:pPr>
    </w:p>
    <w:p w14:paraId="10ADC365">
      <w:pPr>
        <w:rPr>
          <w:color w:val="auto"/>
        </w:rPr>
      </w:pPr>
    </w:p>
    <w:p w14:paraId="52796060">
      <w:pPr>
        <w:pStyle w:val="6"/>
        <w:rPr>
          <w:color w:val="auto"/>
        </w:rPr>
      </w:pPr>
    </w:p>
    <w:p w14:paraId="167C8E6F">
      <w:pPr>
        <w:pStyle w:val="15"/>
        <w:rPr>
          <w:color w:val="auto"/>
        </w:rPr>
      </w:pPr>
    </w:p>
    <w:p w14:paraId="48F033E4">
      <w:pPr>
        <w:rPr>
          <w:color w:val="auto"/>
        </w:rPr>
      </w:pPr>
    </w:p>
    <w:p w14:paraId="0979F993">
      <w:pPr>
        <w:pStyle w:val="6"/>
        <w:rPr>
          <w:color w:val="auto"/>
        </w:rPr>
      </w:pPr>
    </w:p>
    <w:p w14:paraId="22F6FCB8">
      <w:pPr>
        <w:pStyle w:val="15"/>
        <w:rPr>
          <w:color w:val="auto"/>
        </w:rPr>
      </w:pPr>
    </w:p>
    <w:p w14:paraId="0BF102AE">
      <w:pPr>
        <w:pStyle w:val="13"/>
        <w:rPr>
          <w:color w:val="auto"/>
        </w:rPr>
      </w:pPr>
    </w:p>
    <w:p w14:paraId="526B19AB">
      <w:pPr>
        <w:rPr>
          <w:color w:val="auto"/>
        </w:rPr>
      </w:pPr>
    </w:p>
    <w:p w14:paraId="4F5386BE">
      <w:pPr>
        <w:rPr>
          <w:color w:val="auto"/>
        </w:rPr>
      </w:pPr>
    </w:p>
    <w:p w14:paraId="5D5390BB">
      <w:pPr>
        <w:rPr>
          <w:color w:val="auto"/>
        </w:rPr>
      </w:pPr>
    </w:p>
    <w:p w14:paraId="7A1EAAC6">
      <w:pPr>
        <w:rPr>
          <w:color w:val="auto"/>
        </w:rPr>
      </w:pPr>
    </w:p>
    <w:p w14:paraId="4DC87F75">
      <w:pPr>
        <w:rPr>
          <w:color w:val="auto"/>
        </w:rPr>
      </w:pPr>
    </w:p>
    <w:p w14:paraId="1620465D">
      <w:pPr>
        <w:rPr>
          <w:color w:val="auto"/>
        </w:rPr>
      </w:pPr>
    </w:p>
    <w:p w14:paraId="0F1BBA67">
      <w:pPr>
        <w:rPr>
          <w:color w:val="auto"/>
        </w:rPr>
      </w:pPr>
    </w:p>
    <w:p w14:paraId="6F28F61A">
      <w:pPr>
        <w:pStyle w:val="13"/>
        <w:rPr>
          <w:color w:val="auto"/>
        </w:rPr>
      </w:pPr>
    </w:p>
    <w:p w14:paraId="12E7506A">
      <w:pPr>
        <w:rPr>
          <w:color w:val="auto"/>
        </w:rPr>
      </w:pPr>
    </w:p>
    <w:p w14:paraId="21F41F43">
      <w:pPr>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2025年三固运行中心填埋场渗滤液管道检测及清洗服务采购项目（第二次重新询价）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2025年三固运行中心填埋场渗滤液管道检测及清洗服务采购项目（第二次重新询价）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15"/>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15"/>
        <w:rPr>
          <w:rFonts w:hint="eastAsia"/>
          <w:color w:val="auto"/>
          <w:lang w:val="zh-CN"/>
        </w:rPr>
      </w:pPr>
    </w:p>
    <w:p w14:paraId="5991269C">
      <w:pPr>
        <w:rPr>
          <w:color w:val="auto"/>
        </w:rPr>
      </w:pPr>
    </w:p>
    <w:p w14:paraId="7C352615">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7"/>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7"/>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2"/>
        <w:widowControl w:val="0"/>
        <w:numPr>
          <w:ilvl w:val="0"/>
          <w:numId w:val="0"/>
        </w:numPr>
        <w:jc w:val="left"/>
        <w:rPr>
          <w:rFonts w:hint="eastAsia"/>
          <w:color w:val="auto"/>
          <w:lang w:val="zh-CN"/>
        </w:rPr>
      </w:pPr>
    </w:p>
    <w:p w14:paraId="62D40033">
      <w:pPr>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2"/>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2025年三固运行中心填埋场渗滤液管道检测及清洗服务采购项目（第二次重新询价）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768500D0">
      <w:pPr>
        <w:spacing w:line="360" w:lineRule="auto"/>
        <w:jc w:val="both"/>
        <w:outlineLvl w:val="0"/>
        <w:rPr>
          <w:rFonts w:hint="eastAsia" w:cs="仿宋" w:asciiTheme="minorEastAsia" w:hAnsiTheme="minorEastAsia"/>
          <w:b/>
          <w:color w:val="auto"/>
          <w:kern w:val="0"/>
          <w:sz w:val="36"/>
          <w:szCs w:val="36"/>
        </w:rPr>
      </w:pPr>
    </w:p>
    <w:p w14:paraId="6477C231">
      <w:pPr>
        <w:spacing w:line="360" w:lineRule="auto"/>
        <w:jc w:val="center"/>
        <w:outlineLvl w:val="0"/>
        <w:rPr>
          <w:rFonts w:hint="eastAsia" w:cs="仿宋" w:asciiTheme="minorEastAsia" w:hAnsiTheme="minorEastAsia"/>
          <w:b/>
          <w:color w:val="auto"/>
          <w:kern w:val="0"/>
          <w:sz w:val="36"/>
          <w:szCs w:val="36"/>
        </w:rPr>
      </w:pPr>
    </w:p>
    <w:p w14:paraId="518DBC22">
      <w:pPr>
        <w:spacing w:line="360" w:lineRule="auto"/>
        <w:jc w:val="center"/>
        <w:outlineLvl w:val="0"/>
        <w:rPr>
          <w:rFonts w:hint="eastAsia" w:cs="仿宋" w:asciiTheme="minorEastAsia" w:hAnsiTheme="minorEastAsia"/>
          <w:b/>
          <w:color w:val="auto"/>
          <w:kern w:val="0"/>
          <w:sz w:val="36"/>
          <w:szCs w:val="36"/>
        </w:rPr>
      </w:pPr>
    </w:p>
    <w:p w14:paraId="5629E103">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9"/>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2025年三固运行中心填埋场渗滤液管道检测及清洗服务采购项目（第二次重新询价）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30"/>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2025年三固运行中心填埋场渗滤液管道检测及清洗服务采购项目（第二次重新询价）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6"/>
        <w:tblW w:w="14072" w:type="dxa"/>
        <w:tblInd w:w="-225" w:type="dxa"/>
        <w:tblLayout w:type="fixed"/>
        <w:tblCellMar>
          <w:top w:w="0" w:type="dxa"/>
          <w:left w:w="108" w:type="dxa"/>
          <w:bottom w:w="0" w:type="dxa"/>
          <w:right w:w="108" w:type="dxa"/>
        </w:tblCellMar>
      </w:tblPr>
      <w:tblGrid>
        <w:gridCol w:w="821"/>
        <w:gridCol w:w="1555"/>
        <w:gridCol w:w="3712"/>
        <w:gridCol w:w="868"/>
        <w:gridCol w:w="1150"/>
        <w:gridCol w:w="1550"/>
        <w:gridCol w:w="2022"/>
        <w:gridCol w:w="2394"/>
      </w:tblGrid>
      <w:tr w14:paraId="78240C7D">
        <w:tblPrEx>
          <w:tblCellMar>
            <w:top w:w="0" w:type="dxa"/>
            <w:left w:w="108" w:type="dxa"/>
            <w:bottom w:w="0" w:type="dxa"/>
            <w:right w:w="108" w:type="dxa"/>
          </w:tblCellMar>
        </w:tblPrEx>
        <w:trPr>
          <w:trHeight w:val="561"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6095C45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55" w:type="dxa"/>
            <w:tcBorders>
              <w:top w:val="single" w:color="000000" w:sz="4" w:space="0"/>
              <w:left w:val="single" w:color="000000" w:sz="4" w:space="0"/>
              <w:bottom w:val="single" w:color="000000" w:sz="4" w:space="0"/>
              <w:right w:val="single" w:color="000000" w:sz="4" w:space="0"/>
            </w:tcBorders>
            <w:noWrap/>
            <w:vAlign w:val="center"/>
          </w:tcPr>
          <w:p w14:paraId="7C0672C6">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设备名称</w:t>
            </w:r>
          </w:p>
        </w:tc>
        <w:tc>
          <w:tcPr>
            <w:tcW w:w="3712" w:type="dxa"/>
            <w:tcBorders>
              <w:top w:val="single" w:color="000000" w:sz="4" w:space="0"/>
              <w:left w:val="single" w:color="000000" w:sz="4" w:space="0"/>
              <w:bottom w:val="single" w:color="000000" w:sz="4" w:space="0"/>
              <w:right w:val="single" w:color="000000" w:sz="4" w:space="0"/>
            </w:tcBorders>
            <w:noWrap/>
            <w:vAlign w:val="center"/>
          </w:tcPr>
          <w:p w14:paraId="29A06532">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内容</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62B39824">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EC56340">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数量</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A7C0E93">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单价（元/次）</w:t>
            </w:r>
          </w:p>
        </w:tc>
        <w:tc>
          <w:tcPr>
            <w:tcW w:w="2022" w:type="dxa"/>
            <w:tcBorders>
              <w:top w:val="single" w:color="000000" w:sz="4" w:space="0"/>
              <w:left w:val="single" w:color="000000" w:sz="4" w:space="0"/>
              <w:bottom w:val="single" w:color="auto" w:sz="4" w:space="0"/>
              <w:right w:val="single" w:color="000000" w:sz="4" w:space="0"/>
            </w:tcBorders>
            <w:noWrap/>
            <w:vAlign w:val="center"/>
          </w:tcPr>
          <w:p w14:paraId="5A632397">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金额</w:t>
            </w:r>
          </w:p>
        </w:tc>
        <w:tc>
          <w:tcPr>
            <w:tcW w:w="2394" w:type="dxa"/>
            <w:tcBorders>
              <w:top w:val="single" w:color="000000" w:sz="4" w:space="0"/>
              <w:left w:val="single" w:color="000000" w:sz="4" w:space="0"/>
              <w:bottom w:val="single" w:color="auto" w:sz="4" w:space="0"/>
              <w:right w:val="single" w:color="000000" w:sz="4" w:space="0"/>
            </w:tcBorders>
            <w:noWrap/>
            <w:vAlign w:val="center"/>
          </w:tcPr>
          <w:p w14:paraId="4D2B983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5D342800">
        <w:tblPrEx>
          <w:tblCellMar>
            <w:top w:w="0" w:type="dxa"/>
            <w:left w:w="108" w:type="dxa"/>
            <w:bottom w:w="0" w:type="dxa"/>
            <w:right w:w="108" w:type="dxa"/>
          </w:tblCellMar>
        </w:tblPrEx>
        <w:trPr>
          <w:trHeight w:val="1173" w:hRule="atLeast"/>
        </w:trPr>
        <w:tc>
          <w:tcPr>
            <w:tcW w:w="821" w:type="dxa"/>
            <w:tcBorders>
              <w:top w:val="single" w:color="000000" w:sz="4" w:space="0"/>
              <w:left w:val="single" w:color="000000" w:sz="4" w:space="0"/>
              <w:right w:val="single" w:color="000000" w:sz="4" w:space="0"/>
            </w:tcBorders>
            <w:noWrap/>
            <w:vAlign w:val="center"/>
          </w:tcPr>
          <w:p w14:paraId="2AFE2D30">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555" w:type="dxa"/>
            <w:tcBorders>
              <w:top w:val="single" w:color="000000" w:sz="4" w:space="0"/>
              <w:left w:val="single" w:color="000000" w:sz="4" w:space="0"/>
              <w:right w:val="single" w:color="000000" w:sz="4" w:space="0"/>
            </w:tcBorders>
            <w:noWrap/>
            <w:vAlign w:val="center"/>
          </w:tcPr>
          <w:p w14:paraId="45E77AA3">
            <w:pPr>
              <w:keepNext w:val="0"/>
              <w:keepLines w:val="0"/>
              <w:widowControl/>
              <w:suppressLineNumbers w:val="0"/>
              <w:jc w:val="center"/>
              <w:textAlignment w:val="center"/>
              <w:rPr>
                <w:rFonts w:hint="eastAsia" w:ascii="宋体" w:hAnsi="宋体" w:eastAsia="宋体" w:cs="宋体"/>
                <w:b/>
                <w:color w:val="auto"/>
                <w:sz w:val="24"/>
                <w:szCs w:val="24"/>
                <w:highlight w:val="none"/>
                <w:lang w:val="en-US" w:eastAsia="zh-CN"/>
              </w:rPr>
            </w:pPr>
            <w:r>
              <w:rPr>
                <w:rFonts w:hint="eastAsia"/>
              </w:rPr>
              <w:t>渗滤液管道检测</w:t>
            </w:r>
          </w:p>
        </w:tc>
        <w:tc>
          <w:tcPr>
            <w:tcW w:w="3712" w:type="dxa"/>
            <w:tcBorders>
              <w:top w:val="single" w:color="000000" w:sz="4" w:space="0"/>
              <w:left w:val="single" w:color="000000" w:sz="4" w:space="0"/>
              <w:right w:val="single" w:color="000000" w:sz="4" w:space="0"/>
            </w:tcBorders>
            <w:noWrap/>
            <w:vAlign w:val="center"/>
          </w:tcPr>
          <w:p w14:paraId="7D790D12">
            <w:pPr>
              <w:widowControl/>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1.每半年对填埋场渗滤液管道进行检测（南北两侧各一根，每根渗滤液管道检测为1次）</w:t>
            </w:r>
          </w:p>
          <w:p w14:paraId="5C044FF6">
            <w:pPr>
              <w:widowControl/>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color w:val="auto"/>
                <w:sz w:val="20"/>
                <w:szCs w:val="20"/>
                <w:lang w:val="en-US" w:eastAsia="zh-CN"/>
              </w:rPr>
              <w:t>2.填埋场渗滤液管道规格：外径DN160、内径DN140，斜面高度10米，长度15米，底部平面长度 130米</w:t>
            </w:r>
          </w:p>
        </w:tc>
        <w:tc>
          <w:tcPr>
            <w:tcW w:w="868" w:type="dxa"/>
            <w:tcBorders>
              <w:top w:val="single" w:color="000000" w:sz="4" w:space="0"/>
              <w:left w:val="single" w:color="000000" w:sz="4" w:space="0"/>
              <w:right w:val="single" w:color="000000" w:sz="4" w:space="0"/>
            </w:tcBorders>
            <w:noWrap/>
            <w:vAlign w:val="center"/>
          </w:tcPr>
          <w:p w14:paraId="3039E556">
            <w:pPr>
              <w:keepNext w:val="0"/>
              <w:keepLines w:val="0"/>
              <w:widowControl/>
              <w:suppressLineNumbers w:val="0"/>
              <w:jc w:val="center"/>
              <w:textAlignment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w:t>
            </w:r>
          </w:p>
        </w:tc>
        <w:tc>
          <w:tcPr>
            <w:tcW w:w="1150" w:type="dxa"/>
            <w:tcBorders>
              <w:top w:val="single" w:color="000000" w:sz="4" w:space="0"/>
              <w:left w:val="single" w:color="000000" w:sz="4" w:space="0"/>
              <w:right w:val="single" w:color="000000" w:sz="4" w:space="0"/>
            </w:tcBorders>
            <w:noWrap/>
            <w:vAlign w:val="center"/>
          </w:tcPr>
          <w:p w14:paraId="2C282E26">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right w:val="single" w:color="000000" w:sz="4" w:space="0"/>
            </w:tcBorders>
            <w:noWrap/>
            <w:vAlign w:val="center"/>
          </w:tcPr>
          <w:p w14:paraId="46F9D2AD">
            <w:pPr>
              <w:spacing w:line="360" w:lineRule="auto"/>
              <w:jc w:val="center"/>
              <w:rPr>
                <w:rFonts w:hint="eastAsia" w:ascii="宋体" w:hAnsi="宋体" w:eastAsia="宋体" w:cs="宋体"/>
                <w:b/>
                <w:color w:val="auto"/>
                <w:sz w:val="24"/>
                <w:szCs w:val="24"/>
                <w:highlight w:val="none"/>
              </w:rPr>
            </w:pP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277C899C">
            <w:pPr>
              <w:spacing w:line="360" w:lineRule="auto"/>
              <w:jc w:val="center"/>
              <w:rPr>
                <w:rFonts w:hint="eastAsia" w:ascii="宋体" w:hAnsi="宋体" w:eastAsia="宋体" w:cs="宋体"/>
                <w:b/>
                <w:color w:val="auto"/>
                <w:sz w:val="24"/>
                <w:szCs w:val="24"/>
                <w:highlight w:val="none"/>
              </w:rPr>
            </w:pPr>
          </w:p>
        </w:tc>
        <w:tc>
          <w:tcPr>
            <w:tcW w:w="2394" w:type="dxa"/>
            <w:tcBorders>
              <w:top w:val="single" w:color="000000" w:sz="4" w:space="0"/>
              <w:left w:val="single" w:color="000000" w:sz="4" w:space="0"/>
              <w:right w:val="single" w:color="000000" w:sz="4" w:space="0"/>
            </w:tcBorders>
            <w:noWrap/>
            <w:vAlign w:val="center"/>
          </w:tcPr>
          <w:p w14:paraId="4EA5A394">
            <w:pPr>
              <w:spacing w:line="360" w:lineRule="auto"/>
              <w:jc w:val="center"/>
              <w:rPr>
                <w:rFonts w:hint="eastAsia" w:ascii="宋体" w:hAnsi="宋体" w:eastAsia="宋体" w:cs="宋体"/>
                <w:b/>
                <w:color w:val="auto"/>
                <w:sz w:val="24"/>
                <w:szCs w:val="24"/>
                <w:highlight w:val="none"/>
                <w:lang w:val="en-US" w:eastAsia="zh-CN"/>
              </w:rPr>
            </w:pPr>
          </w:p>
        </w:tc>
      </w:tr>
      <w:tr w14:paraId="3DAFE511">
        <w:tblPrEx>
          <w:tblCellMar>
            <w:top w:w="0" w:type="dxa"/>
            <w:left w:w="108" w:type="dxa"/>
            <w:bottom w:w="0" w:type="dxa"/>
            <w:right w:w="108" w:type="dxa"/>
          </w:tblCellMar>
        </w:tblPrEx>
        <w:trPr>
          <w:trHeight w:val="1173" w:hRule="atLeast"/>
        </w:trPr>
        <w:tc>
          <w:tcPr>
            <w:tcW w:w="821" w:type="dxa"/>
            <w:tcBorders>
              <w:top w:val="single" w:color="000000" w:sz="4" w:space="0"/>
              <w:left w:val="single" w:color="000000" w:sz="4" w:space="0"/>
              <w:right w:val="single" w:color="000000" w:sz="4" w:space="0"/>
            </w:tcBorders>
            <w:noWrap/>
            <w:vAlign w:val="center"/>
          </w:tcPr>
          <w:p w14:paraId="108A35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55" w:type="dxa"/>
            <w:tcBorders>
              <w:top w:val="single" w:color="000000" w:sz="4" w:space="0"/>
              <w:left w:val="single" w:color="000000" w:sz="4" w:space="0"/>
              <w:right w:val="single" w:color="000000" w:sz="4" w:space="0"/>
            </w:tcBorders>
            <w:noWrap/>
            <w:vAlign w:val="center"/>
          </w:tcPr>
          <w:p w14:paraId="732AFC1C">
            <w:pPr>
              <w:keepNext w:val="0"/>
              <w:keepLines w:val="0"/>
              <w:widowControl/>
              <w:suppressLineNumbers w:val="0"/>
              <w:jc w:val="center"/>
              <w:textAlignment w:val="center"/>
              <w:rPr>
                <w:rFonts w:hint="eastAsia" w:eastAsiaTheme="minorEastAsia"/>
                <w:color w:val="auto"/>
                <w:highlight w:val="none"/>
                <w:lang w:val="en-US" w:eastAsia="zh-CN"/>
              </w:rPr>
            </w:pPr>
            <w:r>
              <w:rPr>
                <w:rFonts w:hint="eastAsia"/>
              </w:rPr>
              <w:t>渗滤液管道</w:t>
            </w:r>
            <w:r>
              <w:rPr>
                <w:rFonts w:hint="eastAsia"/>
                <w:lang w:val="en-US" w:eastAsia="zh-CN"/>
              </w:rPr>
              <w:t>冲洗</w:t>
            </w:r>
          </w:p>
        </w:tc>
        <w:tc>
          <w:tcPr>
            <w:tcW w:w="3712" w:type="dxa"/>
            <w:tcBorders>
              <w:top w:val="single" w:color="000000" w:sz="4" w:space="0"/>
              <w:left w:val="single" w:color="000000" w:sz="4" w:space="0"/>
              <w:right w:val="single" w:color="000000" w:sz="4" w:space="0"/>
            </w:tcBorders>
            <w:noWrap/>
            <w:vAlign w:val="center"/>
          </w:tcPr>
          <w:p w14:paraId="0B505031">
            <w:pPr>
              <w:widowControl/>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color w:val="auto"/>
                <w:sz w:val="20"/>
                <w:szCs w:val="20"/>
                <w:lang w:val="en-US" w:eastAsia="zh-CN"/>
              </w:rPr>
              <w:t>视检测后管道堵塞情况对填埋场渗滤液管道进行冲洗（每根渗滤液管道冲洗为1次）</w:t>
            </w:r>
          </w:p>
        </w:tc>
        <w:tc>
          <w:tcPr>
            <w:tcW w:w="868" w:type="dxa"/>
            <w:tcBorders>
              <w:top w:val="single" w:color="000000" w:sz="4" w:space="0"/>
              <w:left w:val="single" w:color="000000" w:sz="4" w:space="0"/>
              <w:right w:val="single" w:color="000000" w:sz="4" w:space="0"/>
            </w:tcBorders>
            <w:noWrap/>
            <w:vAlign w:val="center"/>
          </w:tcPr>
          <w:p w14:paraId="7A98F2BB">
            <w:pPr>
              <w:keepNext w:val="0"/>
              <w:keepLines w:val="0"/>
              <w:widowControl/>
              <w:suppressLineNumbers w:val="0"/>
              <w:jc w:val="center"/>
              <w:textAlignment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w:t>
            </w:r>
          </w:p>
        </w:tc>
        <w:tc>
          <w:tcPr>
            <w:tcW w:w="1150" w:type="dxa"/>
            <w:tcBorders>
              <w:top w:val="single" w:color="000000" w:sz="4" w:space="0"/>
              <w:left w:val="single" w:color="000000" w:sz="4" w:space="0"/>
              <w:right w:val="single" w:color="000000" w:sz="4" w:space="0"/>
            </w:tcBorders>
            <w:noWrap/>
            <w:vAlign w:val="center"/>
          </w:tcPr>
          <w:p w14:paraId="4C3AF1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right w:val="single" w:color="000000" w:sz="4" w:space="0"/>
            </w:tcBorders>
            <w:noWrap/>
            <w:vAlign w:val="center"/>
          </w:tcPr>
          <w:p w14:paraId="6F27437B">
            <w:pPr>
              <w:spacing w:line="360" w:lineRule="auto"/>
              <w:jc w:val="center"/>
              <w:rPr>
                <w:rFonts w:hint="eastAsia" w:ascii="宋体" w:hAnsi="宋体" w:eastAsia="宋体" w:cs="宋体"/>
                <w:b/>
                <w:color w:val="auto"/>
                <w:sz w:val="24"/>
                <w:szCs w:val="24"/>
                <w:highlight w:val="none"/>
              </w:rPr>
            </w:pP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11012198">
            <w:pPr>
              <w:spacing w:line="360" w:lineRule="auto"/>
              <w:jc w:val="center"/>
              <w:rPr>
                <w:rFonts w:hint="eastAsia" w:ascii="宋体" w:hAnsi="宋体" w:eastAsia="宋体" w:cs="宋体"/>
                <w:b/>
                <w:color w:val="auto"/>
                <w:sz w:val="24"/>
                <w:szCs w:val="24"/>
                <w:highlight w:val="none"/>
              </w:rPr>
            </w:pPr>
          </w:p>
        </w:tc>
        <w:tc>
          <w:tcPr>
            <w:tcW w:w="2394" w:type="dxa"/>
            <w:tcBorders>
              <w:top w:val="single" w:color="000000" w:sz="4" w:space="0"/>
              <w:left w:val="single" w:color="000000" w:sz="4" w:space="0"/>
              <w:right w:val="single" w:color="000000" w:sz="4" w:space="0"/>
            </w:tcBorders>
            <w:noWrap/>
            <w:vAlign w:val="center"/>
          </w:tcPr>
          <w:p w14:paraId="29952D3A">
            <w:pPr>
              <w:spacing w:line="360" w:lineRule="auto"/>
              <w:jc w:val="center"/>
              <w:rPr>
                <w:rFonts w:hint="eastAsia" w:ascii="宋体" w:hAnsi="宋体" w:eastAsia="宋体" w:cs="宋体"/>
                <w:b/>
                <w:color w:val="auto"/>
                <w:sz w:val="24"/>
                <w:szCs w:val="24"/>
                <w:highlight w:val="none"/>
                <w:lang w:val="en-US" w:eastAsia="zh-CN"/>
              </w:rPr>
            </w:pPr>
          </w:p>
        </w:tc>
      </w:tr>
      <w:tr w14:paraId="4D3AD5AB">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2231C46C">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响应报价合计（小写）</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555DC28E">
            <w:pPr>
              <w:spacing w:line="360" w:lineRule="auto"/>
              <w:jc w:val="center"/>
              <w:rPr>
                <w:rFonts w:hint="eastAsia" w:ascii="宋体" w:hAnsi="宋体" w:eastAsia="宋体" w:cs="宋体"/>
                <w:b/>
                <w:color w:val="auto"/>
                <w:sz w:val="24"/>
                <w:szCs w:val="24"/>
                <w:highlight w:val="none"/>
              </w:rPr>
            </w:pPr>
          </w:p>
        </w:tc>
      </w:tr>
      <w:tr w14:paraId="57EA5267">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1F16E539">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响应报价合计（大写）</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2DEC2C74">
            <w:pPr>
              <w:spacing w:line="360" w:lineRule="auto"/>
              <w:jc w:val="center"/>
              <w:rPr>
                <w:rFonts w:hint="eastAsia" w:ascii="宋体" w:hAnsi="宋体" w:eastAsia="宋体" w:cs="宋体"/>
                <w:b/>
                <w:color w:val="auto"/>
                <w:sz w:val="24"/>
                <w:szCs w:val="24"/>
                <w:highlight w:val="none"/>
              </w:rPr>
            </w:pPr>
          </w:p>
        </w:tc>
      </w:tr>
      <w:tr w14:paraId="0D2E5951">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329DADC4">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税率</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514157A0">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0BF928B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3、特别提示：采购人将对项目名称和项目编号，成交供应商名称、成交金额予以公示。</w:t>
      </w:r>
    </w:p>
    <w:p w14:paraId="0810B710">
      <w:pPr>
        <w:pStyle w:val="6"/>
        <w:rPr>
          <w:color w:val="auto"/>
        </w:rPr>
      </w:pPr>
    </w:p>
    <w:p w14:paraId="5120C4BA">
      <w:pPr>
        <w:pStyle w:val="15"/>
        <w:rPr>
          <w:color w:val="auto"/>
        </w:rPr>
      </w:pPr>
    </w:p>
    <w:p w14:paraId="10998650">
      <w:pPr>
        <w:pStyle w:val="6"/>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8"/>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2025年三固运行中心填埋场渗滤液管道检测及清洗服务采购项目（第二次重新询价）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2025年三固运行中心填埋场渗滤液管道检测及清洗服务采购项目（第二次重新询价）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8"/>
        <w:rPr>
          <w:rFonts w:hint="eastAsia" w:hAnsi="宋体" w:cs="宋体"/>
          <w:b/>
          <w:bCs/>
          <w:sz w:val="24"/>
        </w:rPr>
      </w:pPr>
    </w:p>
    <w:p w14:paraId="5BC930A5">
      <w:pPr>
        <w:pStyle w:val="8"/>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2"/>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0EFFCC73">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0"/>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0"/>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1"/>
      <w:jc w:val="right"/>
      <w:rPr>
        <w:rFonts w:ascii="仿宋" w:hAnsi="仿宋" w:eastAsia="仿宋" w:cs="仿宋"/>
        <w:i/>
        <w:iCs/>
      </w:rPr>
    </w:pPr>
  </w:p>
  <w:p w14:paraId="793F1943">
    <w:pPr>
      <w:pStyle w:val="11"/>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1"/>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1"/>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1"/>
    </w:pPr>
    <w:r>
      <w:rPr>
        <w:sz w:val="18"/>
      </w:rPr>
      <w:pict>
        <v:shape id="PowerPlusWaterMarkObject40274" o:spid="_x0000_s2049" o:spt="136" type="#_x0000_t136" style="position:absolute;left:0pt;height:60.35pt;width:476.95pt;mso-position-horizontal:center;mso-position-horizontal-relative:margin;mso-position-vertical:center;mso-position-vertical-relative:margin;rotation:-2949120f;z-index:-251648000;mso-width-relative:page;mso-height-relative:page;" fillcolor="#000000" filled="t" stroked="f" coordsize="21600,21600" adj="10800">
          <v:path/>
          <v:fill on="t" opacity="15728f" focussize="0,0"/>
          <v:stroke on="f"/>
          <v:imagedata o:title=""/>
          <o:lock v:ext="edit" aspectratio="t"/>
          <v:textpath on="t" fitshape="t" fitpath="t" trim="t" xscale="f" string="2025年临江公司合同" style="font-family:宋体;font-size:6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00B6281"/>
    <w:rsid w:val="013D6280"/>
    <w:rsid w:val="017D63B7"/>
    <w:rsid w:val="023E1286"/>
    <w:rsid w:val="03272182"/>
    <w:rsid w:val="046A1781"/>
    <w:rsid w:val="04E634F4"/>
    <w:rsid w:val="05150472"/>
    <w:rsid w:val="05155F8B"/>
    <w:rsid w:val="05171224"/>
    <w:rsid w:val="051B17AF"/>
    <w:rsid w:val="0706436A"/>
    <w:rsid w:val="07665F91"/>
    <w:rsid w:val="0805754C"/>
    <w:rsid w:val="08322A8C"/>
    <w:rsid w:val="08670640"/>
    <w:rsid w:val="08E37A2F"/>
    <w:rsid w:val="09545F70"/>
    <w:rsid w:val="09946F9F"/>
    <w:rsid w:val="09D74B85"/>
    <w:rsid w:val="09EC7123"/>
    <w:rsid w:val="09ED56C9"/>
    <w:rsid w:val="0A103341"/>
    <w:rsid w:val="0A1D0FFF"/>
    <w:rsid w:val="0A7C1006"/>
    <w:rsid w:val="0AD025A1"/>
    <w:rsid w:val="0AFF13C4"/>
    <w:rsid w:val="0B4E0B4D"/>
    <w:rsid w:val="0BD07B44"/>
    <w:rsid w:val="0BFF2A12"/>
    <w:rsid w:val="0C447D28"/>
    <w:rsid w:val="0C492847"/>
    <w:rsid w:val="0C554576"/>
    <w:rsid w:val="0D24423D"/>
    <w:rsid w:val="0F095788"/>
    <w:rsid w:val="0F5E496A"/>
    <w:rsid w:val="0F81598B"/>
    <w:rsid w:val="10947BCD"/>
    <w:rsid w:val="10BE08E9"/>
    <w:rsid w:val="111B4C18"/>
    <w:rsid w:val="1157552B"/>
    <w:rsid w:val="11EC0AD6"/>
    <w:rsid w:val="13064D3F"/>
    <w:rsid w:val="1399374C"/>
    <w:rsid w:val="13FF5068"/>
    <w:rsid w:val="14521AA0"/>
    <w:rsid w:val="146C41CB"/>
    <w:rsid w:val="15003014"/>
    <w:rsid w:val="15907EEF"/>
    <w:rsid w:val="15BE749A"/>
    <w:rsid w:val="15E02F18"/>
    <w:rsid w:val="166F3635"/>
    <w:rsid w:val="185A544F"/>
    <w:rsid w:val="18890233"/>
    <w:rsid w:val="198737C7"/>
    <w:rsid w:val="19DC6BDA"/>
    <w:rsid w:val="1AA56FDE"/>
    <w:rsid w:val="1B7913A6"/>
    <w:rsid w:val="1BEF726B"/>
    <w:rsid w:val="1C4E77C9"/>
    <w:rsid w:val="1C742A28"/>
    <w:rsid w:val="1CAA3340"/>
    <w:rsid w:val="1CC1412F"/>
    <w:rsid w:val="1CD34128"/>
    <w:rsid w:val="1CDE6781"/>
    <w:rsid w:val="1D987ACC"/>
    <w:rsid w:val="1DB44831"/>
    <w:rsid w:val="1DEB283E"/>
    <w:rsid w:val="1DF91700"/>
    <w:rsid w:val="1F29161A"/>
    <w:rsid w:val="1F457921"/>
    <w:rsid w:val="20284B0B"/>
    <w:rsid w:val="21677697"/>
    <w:rsid w:val="229536BA"/>
    <w:rsid w:val="22A244DC"/>
    <w:rsid w:val="235E195C"/>
    <w:rsid w:val="2378337E"/>
    <w:rsid w:val="23A82AD3"/>
    <w:rsid w:val="23AE001C"/>
    <w:rsid w:val="23BA3CAF"/>
    <w:rsid w:val="249017C8"/>
    <w:rsid w:val="251A0B90"/>
    <w:rsid w:val="25251AF7"/>
    <w:rsid w:val="25C26B32"/>
    <w:rsid w:val="272E083D"/>
    <w:rsid w:val="284A39BF"/>
    <w:rsid w:val="28A354BE"/>
    <w:rsid w:val="298D0BC4"/>
    <w:rsid w:val="2A1060BE"/>
    <w:rsid w:val="2A6366FF"/>
    <w:rsid w:val="2A6807FA"/>
    <w:rsid w:val="2ADA4095"/>
    <w:rsid w:val="2B32649C"/>
    <w:rsid w:val="2B9B5E5B"/>
    <w:rsid w:val="2BDA5141"/>
    <w:rsid w:val="2C270527"/>
    <w:rsid w:val="2C4141D8"/>
    <w:rsid w:val="2D0347D2"/>
    <w:rsid w:val="2D682F2F"/>
    <w:rsid w:val="2EA152A3"/>
    <w:rsid w:val="2F1F33A8"/>
    <w:rsid w:val="2F5836E9"/>
    <w:rsid w:val="2F7610B9"/>
    <w:rsid w:val="2F7A10AB"/>
    <w:rsid w:val="2F7C7D05"/>
    <w:rsid w:val="30123142"/>
    <w:rsid w:val="302169BE"/>
    <w:rsid w:val="304A7E50"/>
    <w:rsid w:val="314B6E80"/>
    <w:rsid w:val="31BF0628"/>
    <w:rsid w:val="32843E96"/>
    <w:rsid w:val="32C93C79"/>
    <w:rsid w:val="32D33460"/>
    <w:rsid w:val="34207846"/>
    <w:rsid w:val="346671FA"/>
    <w:rsid w:val="34C7140D"/>
    <w:rsid w:val="351F7AFD"/>
    <w:rsid w:val="352F03C1"/>
    <w:rsid w:val="35B75F88"/>
    <w:rsid w:val="36162BCB"/>
    <w:rsid w:val="361749EF"/>
    <w:rsid w:val="363646DC"/>
    <w:rsid w:val="363B4DE8"/>
    <w:rsid w:val="36412810"/>
    <w:rsid w:val="36A32180"/>
    <w:rsid w:val="36BD312A"/>
    <w:rsid w:val="36C96732"/>
    <w:rsid w:val="37396C72"/>
    <w:rsid w:val="37514AF4"/>
    <w:rsid w:val="377C0298"/>
    <w:rsid w:val="37F61CA1"/>
    <w:rsid w:val="394A64EB"/>
    <w:rsid w:val="39716334"/>
    <w:rsid w:val="39C31C6C"/>
    <w:rsid w:val="3C283344"/>
    <w:rsid w:val="3C3420E0"/>
    <w:rsid w:val="3C485F9D"/>
    <w:rsid w:val="3C4E2A76"/>
    <w:rsid w:val="3C7C70D7"/>
    <w:rsid w:val="3CB84BBF"/>
    <w:rsid w:val="3D3879AE"/>
    <w:rsid w:val="3E0C6463"/>
    <w:rsid w:val="3E564C85"/>
    <w:rsid w:val="3F4F566F"/>
    <w:rsid w:val="3F564337"/>
    <w:rsid w:val="3F8142B1"/>
    <w:rsid w:val="3FA13295"/>
    <w:rsid w:val="403E57B7"/>
    <w:rsid w:val="40532D51"/>
    <w:rsid w:val="40533552"/>
    <w:rsid w:val="4179370E"/>
    <w:rsid w:val="41D016DB"/>
    <w:rsid w:val="42043E37"/>
    <w:rsid w:val="42112513"/>
    <w:rsid w:val="42E9077C"/>
    <w:rsid w:val="433F2D12"/>
    <w:rsid w:val="43496F4C"/>
    <w:rsid w:val="435518AD"/>
    <w:rsid w:val="437A2DA4"/>
    <w:rsid w:val="44062E3C"/>
    <w:rsid w:val="44873A1C"/>
    <w:rsid w:val="4491515E"/>
    <w:rsid w:val="45190581"/>
    <w:rsid w:val="470471FE"/>
    <w:rsid w:val="472961BF"/>
    <w:rsid w:val="472E3564"/>
    <w:rsid w:val="47543DFF"/>
    <w:rsid w:val="49105C83"/>
    <w:rsid w:val="491E5E3F"/>
    <w:rsid w:val="4992263D"/>
    <w:rsid w:val="499917D4"/>
    <w:rsid w:val="49A53D97"/>
    <w:rsid w:val="4A035B02"/>
    <w:rsid w:val="4AE27CAC"/>
    <w:rsid w:val="4B847BE2"/>
    <w:rsid w:val="4BAC48C9"/>
    <w:rsid w:val="4CAA0A32"/>
    <w:rsid w:val="4D6C64F8"/>
    <w:rsid w:val="4D961F3E"/>
    <w:rsid w:val="4E191EC4"/>
    <w:rsid w:val="4EA9254B"/>
    <w:rsid w:val="4F251D5C"/>
    <w:rsid w:val="4FD65994"/>
    <w:rsid w:val="4FEB08B0"/>
    <w:rsid w:val="50247551"/>
    <w:rsid w:val="50772E11"/>
    <w:rsid w:val="50886E1D"/>
    <w:rsid w:val="50D545B6"/>
    <w:rsid w:val="513B5867"/>
    <w:rsid w:val="51454B8D"/>
    <w:rsid w:val="514563A8"/>
    <w:rsid w:val="51881307"/>
    <w:rsid w:val="523875F5"/>
    <w:rsid w:val="524F6B61"/>
    <w:rsid w:val="52506204"/>
    <w:rsid w:val="52B35FD7"/>
    <w:rsid w:val="533B163F"/>
    <w:rsid w:val="53FA1DF3"/>
    <w:rsid w:val="54204352"/>
    <w:rsid w:val="54AB2D04"/>
    <w:rsid w:val="54BE47E5"/>
    <w:rsid w:val="56440D1A"/>
    <w:rsid w:val="56F563A5"/>
    <w:rsid w:val="571F3A0C"/>
    <w:rsid w:val="57F2034A"/>
    <w:rsid w:val="58235318"/>
    <w:rsid w:val="58354DBE"/>
    <w:rsid w:val="586E6522"/>
    <w:rsid w:val="58BE2D14"/>
    <w:rsid w:val="58E6126A"/>
    <w:rsid w:val="59121C77"/>
    <w:rsid w:val="59176F69"/>
    <w:rsid w:val="59DD570D"/>
    <w:rsid w:val="59DE0E09"/>
    <w:rsid w:val="59F526EB"/>
    <w:rsid w:val="5A283DD0"/>
    <w:rsid w:val="5A2E5F69"/>
    <w:rsid w:val="5A974EDF"/>
    <w:rsid w:val="5ACD76EE"/>
    <w:rsid w:val="5B021A05"/>
    <w:rsid w:val="5B301727"/>
    <w:rsid w:val="5B3D7F5F"/>
    <w:rsid w:val="5CA53E91"/>
    <w:rsid w:val="5D1252B2"/>
    <w:rsid w:val="5D57437D"/>
    <w:rsid w:val="5EA617F0"/>
    <w:rsid w:val="5EFD2476"/>
    <w:rsid w:val="5F0279C4"/>
    <w:rsid w:val="5F753613"/>
    <w:rsid w:val="5F944466"/>
    <w:rsid w:val="6139287F"/>
    <w:rsid w:val="61C61218"/>
    <w:rsid w:val="61F56B7E"/>
    <w:rsid w:val="62121B84"/>
    <w:rsid w:val="62DA03FE"/>
    <w:rsid w:val="63CF15A0"/>
    <w:rsid w:val="63EE0475"/>
    <w:rsid w:val="64CD2ABF"/>
    <w:rsid w:val="64EF09EB"/>
    <w:rsid w:val="657B7ADB"/>
    <w:rsid w:val="660E4A3F"/>
    <w:rsid w:val="673E5F91"/>
    <w:rsid w:val="67471A97"/>
    <w:rsid w:val="679754A0"/>
    <w:rsid w:val="67D649B5"/>
    <w:rsid w:val="680D7083"/>
    <w:rsid w:val="689618A9"/>
    <w:rsid w:val="68C66552"/>
    <w:rsid w:val="69345B52"/>
    <w:rsid w:val="697C3173"/>
    <w:rsid w:val="6A4E3ABD"/>
    <w:rsid w:val="6A9D6924"/>
    <w:rsid w:val="6ABD4230"/>
    <w:rsid w:val="6ABF2969"/>
    <w:rsid w:val="6AE63D7E"/>
    <w:rsid w:val="6B462C2B"/>
    <w:rsid w:val="6BC51ADD"/>
    <w:rsid w:val="6BD746DF"/>
    <w:rsid w:val="6BDC6E7B"/>
    <w:rsid w:val="6C353187"/>
    <w:rsid w:val="6CEB080D"/>
    <w:rsid w:val="6D893D5F"/>
    <w:rsid w:val="6DA6506A"/>
    <w:rsid w:val="6DD22AEB"/>
    <w:rsid w:val="6DF523F6"/>
    <w:rsid w:val="6EAC75B8"/>
    <w:rsid w:val="6F502166"/>
    <w:rsid w:val="700D088C"/>
    <w:rsid w:val="700E4F44"/>
    <w:rsid w:val="70173239"/>
    <w:rsid w:val="70434E10"/>
    <w:rsid w:val="70FC24C5"/>
    <w:rsid w:val="71A36DE5"/>
    <w:rsid w:val="721A5B23"/>
    <w:rsid w:val="72B931C1"/>
    <w:rsid w:val="737D3686"/>
    <w:rsid w:val="738D03F5"/>
    <w:rsid w:val="73EF1A7F"/>
    <w:rsid w:val="7420296E"/>
    <w:rsid w:val="7431692A"/>
    <w:rsid w:val="74435A84"/>
    <w:rsid w:val="745807EE"/>
    <w:rsid w:val="764022FF"/>
    <w:rsid w:val="767E5B01"/>
    <w:rsid w:val="779944AF"/>
    <w:rsid w:val="78160310"/>
    <w:rsid w:val="783A6C2F"/>
    <w:rsid w:val="785A54C0"/>
    <w:rsid w:val="78D32916"/>
    <w:rsid w:val="78FD6DDA"/>
    <w:rsid w:val="79DF4732"/>
    <w:rsid w:val="79EB254B"/>
    <w:rsid w:val="79F044D8"/>
    <w:rsid w:val="79FD2E0A"/>
    <w:rsid w:val="7AF4716D"/>
    <w:rsid w:val="7AF75924"/>
    <w:rsid w:val="7B2031F9"/>
    <w:rsid w:val="7B3A1BDD"/>
    <w:rsid w:val="7B610513"/>
    <w:rsid w:val="7BA82ABD"/>
    <w:rsid w:val="7BB860EE"/>
    <w:rsid w:val="7C662D96"/>
    <w:rsid w:val="7C821F38"/>
    <w:rsid w:val="7CFD5C38"/>
    <w:rsid w:val="7D601AD6"/>
    <w:rsid w:val="7D713C29"/>
    <w:rsid w:val="7D797C2B"/>
    <w:rsid w:val="7D810EAC"/>
    <w:rsid w:val="7D955BFE"/>
    <w:rsid w:val="7DAC6A56"/>
    <w:rsid w:val="7E0230E5"/>
    <w:rsid w:val="7E1A3F8B"/>
    <w:rsid w:val="7E4454AB"/>
    <w:rsid w:val="7E600661"/>
    <w:rsid w:val="7EA13F7B"/>
    <w:rsid w:val="7FBD485C"/>
    <w:rsid w:val="7FC75086"/>
    <w:rsid w:val="7FE27212"/>
    <w:rsid w:val="7FEF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szCs w:val="22"/>
    </w:rPr>
  </w:style>
  <w:style w:type="paragraph" w:styleId="9">
    <w:name w:val="toc 8"/>
    <w:basedOn w:val="1"/>
    <w:next w:val="1"/>
    <w:unhideWhenUsed/>
    <w:qFormat/>
    <w:uiPriority w:val="39"/>
    <w:pPr>
      <w:ind w:left="1680"/>
      <w:jc w:val="left"/>
    </w:pPr>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5">
    <w:name w:val="Body Text First Indent"/>
    <w:basedOn w:val="6"/>
    <w:next w:val="13"/>
    <w:autoRedefine/>
    <w:qFormat/>
    <w:uiPriority w:val="0"/>
    <w:pPr>
      <w:ind w:firstLine="420"/>
    </w:pPr>
    <w:rPr>
      <w:rFonts w:hAnsi="Times New Roman" w:cs="Times New Roman"/>
      <w:snapToGrid/>
      <w:szCs w:val="20"/>
    </w:rPr>
  </w:style>
  <w:style w:type="table" w:styleId="17">
    <w:name w:val="Table Grid"/>
    <w:basedOn w:val="1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Table Paragraph"/>
    <w:basedOn w:val="1"/>
    <w:autoRedefine/>
    <w:qFormat/>
    <w:uiPriority w:val="1"/>
    <w:rPr>
      <w:rFonts w:ascii="宋体" w:hAnsi="宋体" w:eastAsia="宋体" w:cs="宋体"/>
      <w:lang w:val="zh-CN" w:bidi="zh-CN"/>
    </w:rPr>
  </w:style>
  <w:style w:type="paragraph" w:customStyle="1" w:styleId="20">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
    <w:name w:val="样式1"/>
    <w:basedOn w:val="1"/>
    <w:autoRedefine/>
    <w:qFormat/>
    <w:uiPriority w:val="0"/>
    <w:pPr>
      <w:spacing w:line="360" w:lineRule="exact"/>
      <w:ind w:firstLine="200" w:firstLineChars="200"/>
    </w:pPr>
    <w:rPr>
      <w:rFonts w:ascii="Arial" w:hAnsi="Arial"/>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6">
    <w:name w:val="纯文本1"/>
    <w:basedOn w:val="1"/>
    <w:autoRedefine/>
    <w:qFormat/>
    <w:uiPriority w:val="0"/>
    <w:rPr>
      <w:rFonts w:ascii="宋体" w:hAnsi="Courier New"/>
      <w:kern w:val="0"/>
      <w:sz w:val="20"/>
      <w:szCs w:val="20"/>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autoRedefine/>
    <w:qFormat/>
    <w:uiPriority w:val="99"/>
    <w:pPr>
      <w:ind w:firstLine="420" w:firstLineChars="200"/>
    </w:p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样式 标题 1 + 四号 加粗"/>
    <w:basedOn w:val="2"/>
    <w:autoRedefine/>
    <w:qFormat/>
    <w:uiPriority w:val="0"/>
  </w:style>
  <w:style w:type="character" w:customStyle="1" w:styleId="32">
    <w:name w:val="font21"/>
    <w:basedOn w:val="18"/>
    <w:qFormat/>
    <w:uiPriority w:val="0"/>
    <w:rPr>
      <w:rFonts w:hint="eastAsia" w:ascii="宋体" w:hAnsi="宋体" w:eastAsia="宋体" w:cs="宋体"/>
      <w:color w:val="000000"/>
      <w:sz w:val="21"/>
      <w:szCs w:val="21"/>
      <w:u w:val="none"/>
    </w:rPr>
  </w:style>
  <w:style w:type="character" w:customStyle="1" w:styleId="33">
    <w:name w:val="font31"/>
    <w:basedOn w:val="18"/>
    <w:qFormat/>
    <w:uiPriority w:val="0"/>
    <w:rPr>
      <w:rFonts w:hint="eastAsia" w:ascii="宋体" w:hAnsi="宋体" w:eastAsia="宋体" w:cs="宋体"/>
      <w:color w:val="000000"/>
      <w:sz w:val="22"/>
      <w:szCs w:val="22"/>
      <w:u w:val="none"/>
    </w:rPr>
  </w:style>
  <w:style w:type="character" w:customStyle="1" w:styleId="34">
    <w:name w:val="font51"/>
    <w:basedOn w:val="18"/>
    <w:qFormat/>
    <w:uiPriority w:val="0"/>
    <w:rPr>
      <w:rFonts w:hint="default" w:ascii="Arial" w:hAnsi="Arial" w:cs="Arial"/>
      <w:color w:val="000000"/>
      <w:sz w:val="22"/>
      <w:szCs w:val="22"/>
      <w:u w:val="none"/>
    </w:rPr>
  </w:style>
  <w:style w:type="character" w:customStyle="1" w:styleId="35">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2847</Words>
  <Characters>3134</Characters>
  <Lines>0</Lines>
  <Paragraphs>0</Paragraphs>
  <TotalTime>15</TotalTime>
  <ScaleCrop>false</ScaleCrop>
  <LinksUpToDate>false</LinksUpToDate>
  <CharactersWithSpaces>3233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2025-08-12T06:56:36Z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4AA2F08862FA4CE3915A8DBC408A7B67_13</vt:lpwstr>
  </property>
  <property fmtid="{D5CDD505-2E9C-101B-9397-08002B2CF9AE}" pid="4" name="KSOTemplateDocerSaveRecord">
    <vt:lpwstr>eyJoZGlkIjoiYmE4NDUyY2MyMzJlMWJhMmJhYWRlZTBmZDU1MjJiNWMiLCJ1c2VySWQiOiI0MTM5MzY3MzkifQ==</vt:lpwstr>
  </property>
</Properties>
</file>